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284" w:rsidRPr="00854284" w:rsidRDefault="00854284" w:rsidP="00854284">
      <w:pPr>
        <w:spacing w:after="0" w:line="240" w:lineRule="auto"/>
        <w:rPr>
          <w:rFonts w:ascii="Times New Roman" w:eastAsia="Times New Roman" w:hAnsi="Times New Roman" w:cs="Times New Roman"/>
          <w:sz w:val="24"/>
          <w:szCs w:val="24"/>
          <w:lang w:eastAsia="hu-HU"/>
        </w:rPr>
      </w:pPr>
      <w:bookmarkStart w:id="0" w:name="_GoBack"/>
      <w:bookmarkEnd w:id="0"/>
      <w:r w:rsidRPr="00854284">
        <w:rPr>
          <w:rFonts w:ascii="Times New Roman" w:eastAsia="Times New Roman" w:hAnsi="Times New Roman" w:cs="Times New Roman"/>
          <w:sz w:val="24"/>
          <w:szCs w:val="24"/>
          <w:lang w:eastAsia="hu-HU"/>
        </w:rPr>
        <w:t>01 2011</w:t>
      </w:r>
    </w:p>
    <w:p w:rsidR="00854284" w:rsidRPr="00854284" w:rsidRDefault="00854284" w:rsidP="00854284">
      <w:pPr>
        <w:spacing w:after="0"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noProof/>
          <w:color w:val="0000FF"/>
          <w:sz w:val="24"/>
          <w:szCs w:val="24"/>
          <w:lang w:eastAsia="hu-HU"/>
        </w:rPr>
        <w:drawing>
          <wp:inline distT="0" distB="0" distL="0" distR="0">
            <wp:extent cx="152400" cy="133350"/>
            <wp:effectExtent l="0" t="0" r="0" b="0"/>
            <wp:docPr id="1" name="Kép 1" descr="print">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p>
    <w:p w:rsidR="00854284" w:rsidRPr="00854284" w:rsidRDefault="00854284" w:rsidP="00854284">
      <w:pPr>
        <w:spacing w:before="100" w:beforeAutospacing="1" w:after="100" w:afterAutospacing="1" w:line="240" w:lineRule="auto"/>
        <w:outlineLvl w:val="0"/>
        <w:rPr>
          <w:rFonts w:ascii="Times New Roman" w:eastAsia="Times New Roman" w:hAnsi="Times New Roman" w:cs="Times New Roman"/>
          <w:b/>
          <w:bCs/>
          <w:kern w:val="36"/>
          <w:sz w:val="48"/>
          <w:szCs w:val="48"/>
          <w:lang w:eastAsia="hu-HU"/>
        </w:rPr>
      </w:pPr>
      <w:r w:rsidRPr="00854284">
        <w:rPr>
          <w:rFonts w:ascii="Times New Roman" w:eastAsia="Times New Roman" w:hAnsi="Times New Roman" w:cs="Times New Roman"/>
          <w:b/>
          <w:bCs/>
          <w:kern w:val="36"/>
          <w:sz w:val="48"/>
          <w:szCs w:val="48"/>
          <w:lang w:eastAsia="hu-HU"/>
        </w:rPr>
        <w:t>‘I would rather be a cyborg than a goddess’</w:t>
      </w:r>
    </w:p>
    <w:p w:rsidR="00854284" w:rsidRPr="00854284" w:rsidRDefault="00854284" w:rsidP="00854284">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854284">
        <w:rPr>
          <w:rFonts w:ascii="Times New Roman" w:eastAsia="Times New Roman" w:hAnsi="Times New Roman" w:cs="Times New Roman"/>
          <w:b/>
          <w:bCs/>
          <w:sz w:val="36"/>
          <w:szCs w:val="36"/>
          <w:lang w:eastAsia="hu-HU"/>
        </w:rPr>
        <w:t>Intersectionality, Assemblage, and Affective Politics</w:t>
      </w:r>
    </w:p>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t>Jasbir Puar</w:t>
      </w:r>
    </w:p>
    <w:tbl>
      <w:tblPr>
        <w:tblW w:w="0" w:type="auto"/>
        <w:tblCellSpacing w:w="0" w:type="dxa"/>
        <w:tblCellMar>
          <w:left w:w="0" w:type="dxa"/>
          <w:right w:w="0" w:type="dxa"/>
        </w:tblCellMar>
        <w:tblLook w:val="04A0" w:firstRow="1" w:lastRow="0" w:firstColumn="1" w:lastColumn="0" w:noHBand="0" w:noVBand="1"/>
      </w:tblPr>
      <w:tblGrid>
        <w:gridCol w:w="2309"/>
        <w:gridCol w:w="6763"/>
      </w:tblGrid>
      <w:tr w:rsidR="00854284" w:rsidRPr="00854284" w:rsidTr="00854284">
        <w:trPr>
          <w:tblCellSpacing w:w="0" w:type="dxa"/>
        </w:trPr>
        <w:tc>
          <w:tcPr>
            <w:tcW w:w="0" w:type="auto"/>
            <w:vAlign w:val="center"/>
            <w:hideMark/>
          </w:tcPr>
          <w:p w:rsidR="00854284" w:rsidRPr="00854284" w:rsidRDefault="00854284" w:rsidP="00854284">
            <w:pPr>
              <w:spacing w:before="100" w:beforeAutospacing="1" w:after="100" w:afterAutospacing="1" w:line="240" w:lineRule="auto"/>
              <w:outlineLvl w:val="0"/>
              <w:rPr>
                <w:rFonts w:ascii="Times New Roman" w:eastAsia="Times New Roman" w:hAnsi="Times New Roman" w:cs="Times New Roman"/>
                <w:b/>
                <w:bCs/>
                <w:kern w:val="36"/>
                <w:sz w:val="48"/>
                <w:szCs w:val="48"/>
                <w:lang w:eastAsia="hu-HU"/>
              </w:rPr>
            </w:pPr>
            <w:r w:rsidRPr="00854284">
              <w:rPr>
                <w:rFonts w:ascii="Times New Roman" w:eastAsia="Times New Roman" w:hAnsi="Times New Roman" w:cs="Times New Roman"/>
                <w:b/>
                <w:bCs/>
                <w:kern w:val="36"/>
                <w:sz w:val="48"/>
                <w:szCs w:val="48"/>
                <w:lang w:eastAsia="hu-HU"/>
              </w:rPr>
              <w:t>Jasbir Puar</w:t>
            </w:r>
          </w:p>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hyperlink r:id="rId6" w:history="1">
              <w:r w:rsidRPr="00854284">
                <w:rPr>
                  <w:rFonts w:ascii="Times New Roman" w:eastAsia="Times New Roman" w:hAnsi="Times New Roman" w:cs="Times New Roman"/>
                  <w:b/>
                  <w:bCs/>
                  <w:color w:val="0000FF"/>
                  <w:sz w:val="24"/>
                  <w:szCs w:val="24"/>
                  <w:u w:val="single"/>
                  <w:lang w:eastAsia="hu-HU"/>
                </w:rPr>
                <w:t>biography</w:t>
              </w:r>
            </w:hyperlink>
            <w:r w:rsidRPr="00854284">
              <w:rPr>
                <w:rFonts w:ascii="Times New Roman" w:eastAsia="Times New Roman" w:hAnsi="Times New Roman" w:cs="Times New Roman"/>
                <w:sz w:val="24"/>
                <w:szCs w:val="24"/>
                <w:lang w:eastAsia="hu-HU"/>
              </w:rPr>
              <w:t xml:space="preserve"> </w:t>
            </w:r>
          </w:p>
          <w:p w:rsidR="00854284" w:rsidRPr="00854284" w:rsidRDefault="00854284" w:rsidP="00854284">
            <w:pPr>
              <w:spacing w:after="0"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pict>
                <v:rect id="_x0000_i1025" style="width:0;height:1.5pt" o:hralign="center" o:hrstd="t" o:hr="t" fillcolor="#a0a0a0" stroked="f"/>
              </w:pict>
            </w:r>
          </w:p>
          <w:p w:rsidR="00854284" w:rsidRPr="00854284" w:rsidRDefault="00854284" w:rsidP="00854284">
            <w:pPr>
              <w:spacing w:before="100" w:beforeAutospacing="1" w:after="100" w:afterAutospacing="1" w:line="240" w:lineRule="auto"/>
              <w:outlineLvl w:val="0"/>
              <w:rPr>
                <w:rFonts w:ascii="Times New Roman" w:eastAsia="Times New Roman" w:hAnsi="Times New Roman" w:cs="Times New Roman"/>
                <w:b/>
                <w:bCs/>
                <w:kern w:val="36"/>
                <w:sz w:val="48"/>
                <w:szCs w:val="48"/>
                <w:lang w:eastAsia="hu-HU"/>
              </w:rPr>
            </w:pPr>
            <w:r w:rsidRPr="00854284">
              <w:rPr>
                <w:rFonts w:ascii="Times New Roman" w:eastAsia="Times New Roman" w:hAnsi="Times New Roman" w:cs="Times New Roman"/>
                <w:b/>
                <w:bCs/>
                <w:kern w:val="36"/>
                <w:sz w:val="48"/>
                <w:szCs w:val="48"/>
                <w:lang w:eastAsia="hu-HU"/>
              </w:rPr>
              <w:t>languages</w:t>
            </w:r>
          </w:p>
          <w:p w:rsidR="00854284" w:rsidRPr="00854284" w:rsidRDefault="00854284" w:rsidP="00854284">
            <w:pPr>
              <w:spacing w:after="0"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t>English</w:t>
            </w:r>
            <w:r w:rsidRPr="00854284">
              <w:rPr>
                <w:rFonts w:ascii="Times New Roman" w:eastAsia="Times New Roman" w:hAnsi="Times New Roman" w:cs="Times New Roman"/>
                <w:sz w:val="24"/>
                <w:szCs w:val="24"/>
                <w:lang w:eastAsia="hu-HU"/>
              </w:rPr>
              <w:br/>
            </w:r>
            <w:hyperlink r:id="rId7" w:history="1">
              <w:r w:rsidRPr="00854284">
                <w:rPr>
                  <w:rFonts w:ascii="Times New Roman" w:eastAsia="Times New Roman" w:hAnsi="Times New Roman" w:cs="Times New Roman"/>
                  <w:color w:val="0000FF"/>
                  <w:sz w:val="24"/>
                  <w:szCs w:val="24"/>
                  <w:u w:val="single"/>
                  <w:lang w:eastAsia="hu-HU"/>
                </w:rPr>
                <w:t>Deutsch</w:t>
              </w:r>
              <w:r w:rsidRPr="00854284">
                <w:rPr>
                  <w:rFonts w:ascii="Times New Roman" w:eastAsia="Times New Roman" w:hAnsi="Times New Roman" w:cs="Times New Roman"/>
                  <w:color w:val="0000FF"/>
                  <w:sz w:val="24"/>
                  <w:szCs w:val="24"/>
                  <w:u w:val="single"/>
                  <w:lang w:eastAsia="hu-HU"/>
                </w:rPr>
                <w:br/>
              </w:r>
            </w:hyperlink>
          </w:p>
          <w:p w:rsidR="00854284" w:rsidRPr="00854284" w:rsidRDefault="00854284" w:rsidP="00854284">
            <w:pPr>
              <w:spacing w:after="0"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pict>
                <v:rect id="_x0000_i1026" style="width:0;height:1.5pt" o:hralign="center" o:hrstd="t" o:hr="t" fillcolor="#a0a0a0" stroked="f"/>
              </w:pict>
            </w:r>
          </w:p>
          <w:p w:rsidR="00854284" w:rsidRPr="00854284" w:rsidRDefault="00854284" w:rsidP="00854284">
            <w:pPr>
              <w:spacing w:before="100" w:beforeAutospacing="1" w:after="100" w:afterAutospacing="1" w:line="240" w:lineRule="auto"/>
              <w:outlineLvl w:val="0"/>
              <w:rPr>
                <w:rFonts w:ascii="Times New Roman" w:eastAsia="Times New Roman" w:hAnsi="Times New Roman" w:cs="Times New Roman"/>
                <w:b/>
                <w:bCs/>
                <w:kern w:val="36"/>
                <w:sz w:val="48"/>
                <w:szCs w:val="48"/>
                <w:lang w:eastAsia="hu-HU"/>
              </w:rPr>
            </w:pPr>
            <w:r w:rsidRPr="00854284">
              <w:rPr>
                <w:rFonts w:ascii="Times New Roman" w:eastAsia="Times New Roman" w:hAnsi="Times New Roman" w:cs="Times New Roman"/>
                <w:b/>
                <w:bCs/>
                <w:kern w:val="36"/>
                <w:sz w:val="48"/>
                <w:szCs w:val="48"/>
                <w:lang w:eastAsia="hu-HU"/>
              </w:rPr>
              <w:t>transversal</w:t>
            </w:r>
          </w:p>
          <w:p w:rsidR="00854284" w:rsidRPr="00854284" w:rsidRDefault="00854284" w:rsidP="00854284">
            <w:pPr>
              <w:spacing w:after="240" w:line="240" w:lineRule="auto"/>
              <w:rPr>
                <w:rFonts w:ascii="Times New Roman" w:eastAsia="Times New Roman" w:hAnsi="Times New Roman" w:cs="Times New Roman"/>
                <w:sz w:val="24"/>
                <w:szCs w:val="24"/>
                <w:lang w:eastAsia="hu-HU"/>
              </w:rPr>
            </w:pPr>
            <w:hyperlink r:id="rId8" w:history="1">
              <w:r w:rsidRPr="00854284">
                <w:rPr>
                  <w:rFonts w:ascii="Times New Roman" w:eastAsia="Times New Roman" w:hAnsi="Times New Roman" w:cs="Times New Roman"/>
                  <w:color w:val="0000FF"/>
                  <w:sz w:val="24"/>
                  <w:szCs w:val="24"/>
                  <w:u w:val="single"/>
                  <w:lang w:eastAsia="hu-HU"/>
                </w:rPr>
                <w:t>inventions</w:t>
              </w:r>
            </w:hyperlink>
          </w:p>
        </w:tc>
        <w:tc>
          <w:tcPr>
            <w:tcW w:w="0" w:type="auto"/>
            <w:vAlign w:val="center"/>
            <w:hideMark/>
          </w:tcPr>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t xml:space="preserve">In response to my proposition in </w:t>
            </w:r>
            <w:r w:rsidRPr="00854284">
              <w:rPr>
                <w:rFonts w:ascii="Times New Roman" w:eastAsia="Times New Roman" w:hAnsi="Times New Roman" w:cs="Times New Roman"/>
                <w:i/>
                <w:iCs/>
                <w:sz w:val="24"/>
                <w:szCs w:val="24"/>
                <w:lang w:eastAsia="hu-HU"/>
              </w:rPr>
              <w:t>Terrorist Assemblages: Homonationalism in Queer Times</w:t>
            </w:r>
            <w:bookmarkStart w:id="1" w:name="_ftnref1"/>
            <w:r w:rsidRPr="00854284">
              <w:rPr>
                <w:rFonts w:ascii="Times New Roman" w:eastAsia="Times New Roman" w:hAnsi="Times New Roman" w:cs="Times New Roman"/>
                <w:i/>
                <w:iCs/>
                <w:sz w:val="24"/>
                <w:szCs w:val="24"/>
                <w:lang w:eastAsia="hu-HU"/>
              </w:rPr>
              <w:fldChar w:fldCharType="begin"/>
            </w:r>
            <w:r w:rsidRPr="00854284">
              <w:rPr>
                <w:rFonts w:ascii="Times New Roman" w:eastAsia="Times New Roman" w:hAnsi="Times New Roman" w:cs="Times New Roman"/>
                <w:i/>
                <w:iCs/>
                <w:sz w:val="24"/>
                <w:szCs w:val="24"/>
                <w:lang w:eastAsia="hu-HU"/>
              </w:rPr>
              <w:instrText xml:space="preserve"> HYPERLINK "http://eipcp.net/transversal/0811/puar/en/" \l "_ftn1" </w:instrText>
            </w:r>
            <w:r w:rsidRPr="00854284">
              <w:rPr>
                <w:rFonts w:ascii="Times New Roman" w:eastAsia="Times New Roman" w:hAnsi="Times New Roman" w:cs="Times New Roman"/>
                <w:i/>
                <w:iCs/>
                <w:sz w:val="24"/>
                <w:szCs w:val="24"/>
                <w:lang w:eastAsia="hu-HU"/>
              </w:rPr>
              <w:fldChar w:fldCharType="separate"/>
            </w:r>
            <w:r w:rsidRPr="00854284">
              <w:rPr>
                <w:rFonts w:ascii="Times New Roman" w:eastAsia="Times New Roman" w:hAnsi="Times New Roman" w:cs="Times New Roman"/>
                <w:i/>
                <w:iCs/>
                <w:color w:val="0000FF"/>
                <w:sz w:val="24"/>
                <w:szCs w:val="24"/>
                <w:u w:val="single"/>
                <w:lang w:eastAsia="hu-HU"/>
              </w:rPr>
              <w:t>[1]</w:t>
            </w:r>
            <w:r w:rsidRPr="00854284">
              <w:rPr>
                <w:rFonts w:ascii="Times New Roman" w:eastAsia="Times New Roman" w:hAnsi="Times New Roman" w:cs="Times New Roman"/>
                <w:i/>
                <w:iCs/>
                <w:sz w:val="24"/>
                <w:szCs w:val="24"/>
                <w:lang w:eastAsia="hu-HU"/>
              </w:rPr>
              <w:fldChar w:fldCharType="end"/>
            </w:r>
            <w:bookmarkEnd w:id="1"/>
            <w:r w:rsidRPr="00854284">
              <w:rPr>
                <w:rFonts w:ascii="Times New Roman" w:eastAsia="Times New Roman" w:hAnsi="Times New Roman" w:cs="Times New Roman"/>
                <w:sz w:val="24"/>
                <w:szCs w:val="24"/>
                <w:lang w:eastAsia="hu-HU"/>
              </w:rPr>
              <w:t xml:space="preserve"> that intersectionality as an intellectual rubric and a tool for political intervention must be supplemented--if not complicated--by a notion of (queer) assemblage, I have been often asked to elaborate on the political possibilities of assemblages. A prominent concept in the work of Gilles Deleuze and Félix Guattari, the political applicability of assemblages appear less time-tested--as if intersectionality holds fast as a successful model of political transformation. Intersectionality is thought by many feminists to be the primary rubric for theorizing difference for the past two decades, and is now a prevalent approach in some strands of queer theory (increasingly known as “queer of color critique"). Intersectionality and assemblage are not analogous in terms of content, intent, nor utility, but they have at times been produced as somehow incompatible or even oppositional. While, as analytics, they may not be reconcilable they need not be oppositional, but rather frictional. In what follows, I offer some preliminary thoughts on the limits and possibilities of each and what might be gained by thinking them through and with each other. What are the strengths of each in the realms of theory, politics, organizing, legal structures, and method? Through the mapping of these two bifurcated genealogies, I offer some thoughts on the politics of feminist knowledge production--which has been driven, sometimes single-mindedly, by the mandate of intersectional analysis--to see what kinds of futures are possible for feminist theorizing.</w:t>
            </w:r>
          </w:p>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br/>
            </w:r>
            <w:r w:rsidRPr="00854284">
              <w:rPr>
                <w:rFonts w:ascii="Times New Roman" w:eastAsia="Times New Roman" w:hAnsi="Times New Roman" w:cs="Times New Roman"/>
                <w:b/>
                <w:bCs/>
                <w:sz w:val="24"/>
                <w:szCs w:val="24"/>
                <w:lang w:eastAsia="hu-HU"/>
              </w:rPr>
              <w:t>Intersectionality and its Discontents</w:t>
            </w:r>
          </w:p>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854284">
              <w:rPr>
                <w:rFonts w:ascii="Times New Roman" w:eastAsia="Times New Roman" w:hAnsi="Times New Roman" w:cs="Times New Roman"/>
                <w:sz w:val="24"/>
                <w:szCs w:val="24"/>
                <w:lang w:eastAsia="hu-HU"/>
              </w:rPr>
              <w:t>It has been more than 20 years since Kimberlé Crenshaw wrote her groundbreaking piece titled, "Demarginalizing the Intersection of Race and Sex: A Black Feminist Critique of Antidiscrimination Doctrine, Feminist Theory, and Antiracist Politics"</w:t>
            </w:r>
            <w:bookmarkStart w:id="2" w:name="_ftnref2"/>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"_ftn2"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[2]</w:t>
            </w:r>
            <w:r w:rsidRPr="00854284">
              <w:rPr>
                <w:rFonts w:ascii="Times New Roman" w:eastAsia="Times New Roman" w:hAnsi="Times New Roman" w:cs="Times New Roman"/>
                <w:sz w:val="24"/>
                <w:szCs w:val="24"/>
                <w:lang w:eastAsia="hu-HU"/>
              </w:rPr>
              <w:fldChar w:fldCharType="end"/>
            </w:r>
            <w:bookmarkEnd w:id="2"/>
            <w:r w:rsidRPr="00854284">
              <w:rPr>
                <w:rFonts w:ascii="Times New Roman" w:eastAsia="Times New Roman" w:hAnsi="Times New Roman" w:cs="Times New Roman"/>
                <w:sz w:val="24"/>
                <w:szCs w:val="24"/>
                <w:lang w:eastAsia="hu-HU"/>
              </w:rPr>
              <w:t xml:space="preserve"> which, along with her 1991 piece “Mapping the Margins: Intersectionality, Identity Politics, and Violence against Women of Color,”</w:t>
            </w:r>
            <w:bookmarkStart w:id="3" w:name="_ftnref3"/>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"_ftn3"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[3]</w:t>
            </w:r>
            <w:r w:rsidRPr="00854284">
              <w:rPr>
                <w:rFonts w:ascii="Times New Roman" w:eastAsia="Times New Roman" w:hAnsi="Times New Roman" w:cs="Times New Roman"/>
                <w:sz w:val="24"/>
                <w:szCs w:val="24"/>
                <w:lang w:eastAsia="hu-HU"/>
              </w:rPr>
              <w:fldChar w:fldCharType="end"/>
            </w:r>
            <w:bookmarkEnd w:id="3"/>
            <w:r w:rsidRPr="00854284">
              <w:rPr>
                <w:rFonts w:ascii="Times New Roman" w:eastAsia="Times New Roman" w:hAnsi="Times New Roman" w:cs="Times New Roman"/>
                <w:sz w:val="24"/>
                <w:szCs w:val="24"/>
                <w:lang w:eastAsia="hu-HU"/>
              </w:rPr>
              <w:t xml:space="preserve"> went on to become seminal texts for the theorization of intersectionality.</w:t>
            </w:r>
            <w:proofErr w:type="gramEnd"/>
            <w:r w:rsidRPr="00854284">
              <w:rPr>
                <w:rFonts w:ascii="Times New Roman" w:eastAsia="Times New Roman" w:hAnsi="Times New Roman" w:cs="Times New Roman"/>
                <w:sz w:val="24"/>
                <w:szCs w:val="24"/>
                <w:lang w:eastAsia="hu-HU"/>
              </w:rPr>
              <w:t xml:space="preserve"> An activist and theoretical discourse about "difference" developed over many years by black feminists in the U.S. such as Audre Lorde and The Combahee River Collective, intersectionality became solidified as a feminist heuristic by Crenshaw's analysis of anti-discrimination </w:t>
            </w:r>
            <w:r w:rsidRPr="00854284">
              <w:rPr>
                <w:rFonts w:ascii="Times New Roman" w:eastAsia="Times New Roman" w:hAnsi="Times New Roman" w:cs="Times New Roman"/>
                <w:sz w:val="24"/>
                <w:szCs w:val="24"/>
                <w:lang w:eastAsia="hu-HU"/>
              </w:rPr>
              <w:lastRenderedPageBreak/>
              <w:t xml:space="preserve">legal doctrine. </w:t>
            </w:r>
            <w:proofErr w:type="gramStart"/>
            <w:r w:rsidRPr="00854284">
              <w:rPr>
                <w:rFonts w:ascii="Times New Roman" w:eastAsia="Times New Roman" w:hAnsi="Times New Roman" w:cs="Times New Roman"/>
                <w:sz w:val="24"/>
                <w:szCs w:val="24"/>
                <w:lang w:eastAsia="hu-HU"/>
              </w:rPr>
              <w:t>Crenshaw mapped out three forms of intersectional analysis she deemed crucial: structural (addressing the intersection of racism and patriarchy in relation to battering and rape of women); political (addressing the intersection of anti-racist organizing and feminist organizing); and representational (addressing the intersection of racial stereotypes and gender stereotypes, particularly in the case of 2 Live Crew) Her intervention into mutually exclusive identity paradigms is one of rethinking identity politics from within, in particular, from within systemic legal exclusions.</w:t>
            </w:r>
            <w:proofErr w:type="gramEnd"/>
            <w:r w:rsidRPr="00854284">
              <w:rPr>
                <w:rFonts w:ascii="Times New Roman" w:eastAsia="Times New Roman" w:hAnsi="Times New Roman" w:cs="Times New Roman"/>
                <w:sz w:val="24"/>
                <w:szCs w:val="24"/>
                <w:lang w:eastAsia="hu-HU"/>
              </w:rPr>
              <w:t xml:space="preserve"> </w:t>
            </w:r>
          </w:p>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t>A brief survey of these and other key texts makes clear that intersectionality emerged from the struggles of second wave feminism as a crucial black feminist intervention challenging the hegemonic rubrics of race, class, and gender within predominantly white feminist frames. But, in precisely in the act of performing this intervention, it also produces an ironic reification of sexual difference as a/the foundational one that needs to be disrupted—that is to say, sexual and gender difference is understood as the constant from which there are variants. As transnational, postcolonial, and critical race theorists have pointed out, the centrality of the subject positioning of white women has been re-secured through the way in which intersectionality has been deployed. The theory of intersectionality argues that all identities are lived and experienced as intersectional--in such a way that identity categories themselves are cut through and unstable--and that all subjects are intersectional whether or not they recognize themselves as such. But what the method of intersectionality is most predominantly used to qualify is the specific “difference” of “women of color”, a category that has now become, I would argue, simultaneously emptied of specific meaning on the one hand and overdetermined in its deployment on the other. In this usage, intersectionality always produces an Other, and that Other is always a Woman Of Color (WOC), who must invariably be shown to be resistant, subversive, or articulating a grievance. And more pointedly, it is the difference of black women that dominates this genealogy of the term “women of color” (and indeed, Crenshaw is clear that she centralizes “black women’s experience” and posits “black women as the starting point”</w:t>
            </w:r>
            <w:bookmarkStart w:id="4" w:name="_ftnref4"/>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"_ftn4"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[4]</w:t>
            </w:r>
            <w:r w:rsidRPr="00854284">
              <w:rPr>
                <w:rFonts w:ascii="Times New Roman" w:eastAsia="Times New Roman" w:hAnsi="Times New Roman" w:cs="Times New Roman"/>
                <w:sz w:val="24"/>
                <w:szCs w:val="24"/>
                <w:lang w:eastAsia="hu-HU"/>
              </w:rPr>
              <w:fldChar w:fldCharType="end"/>
            </w:r>
            <w:bookmarkEnd w:id="4"/>
            <w:r w:rsidRPr="00854284">
              <w:rPr>
                <w:rFonts w:ascii="Times New Roman" w:eastAsia="Times New Roman" w:hAnsi="Times New Roman" w:cs="Times New Roman"/>
                <w:sz w:val="24"/>
                <w:szCs w:val="24"/>
                <w:lang w:eastAsia="hu-HU"/>
              </w:rPr>
              <w:t xml:space="preserve"> of her analysis). Thus the consolidation of intersectionality as a dominant heuristic may well be driven by anxieties about maintaining the "integrity" of a discrete black feminist genealogy, one that does not necessarily resonate in terms of how intesectionality functions. For example, while Crenshew's work is about reconciling what are perceived to be irreconcilable binary options of gender and race, Audre Lorde's seminal piece "Age, Race, Class, and Sex: Women Redefining Difference"</w:t>
            </w:r>
            <w:bookmarkStart w:id="5" w:name="_ftnref5"/>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"_ftn5"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[5]</w:t>
            </w:r>
            <w:r w:rsidRPr="00854284">
              <w:rPr>
                <w:rFonts w:ascii="Times New Roman" w:eastAsia="Times New Roman" w:hAnsi="Times New Roman" w:cs="Times New Roman"/>
                <w:sz w:val="24"/>
                <w:szCs w:val="24"/>
                <w:lang w:eastAsia="hu-HU"/>
              </w:rPr>
              <w:fldChar w:fldCharType="end"/>
            </w:r>
            <w:bookmarkEnd w:id="5"/>
            <w:r w:rsidRPr="00854284">
              <w:rPr>
                <w:rFonts w:ascii="Times New Roman" w:eastAsia="Times New Roman" w:hAnsi="Times New Roman" w:cs="Times New Roman"/>
                <w:sz w:val="24"/>
                <w:szCs w:val="24"/>
                <w:lang w:eastAsia="hu-HU"/>
              </w:rPr>
              <w:t xml:space="preserve"> from 1984 reads as a much more dynamic, affectively resonant postulation of lived intersectional subjectivities,</w:t>
            </w:r>
          </w:p>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t xml:space="preserve">This ironic othering of WOC through an approach that it meant to alleviate such othering is exacerbated by the fact that intersectionality has become cathected to the field of women's studies as a primary, if </w:t>
            </w:r>
            <w:r w:rsidRPr="00854284">
              <w:rPr>
                <w:rFonts w:ascii="Times New Roman" w:eastAsia="Times New Roman" w:hAnsi="Times New Roman" w:cs="Times New Roman"/>
                <w:sz w:val="24"/>
                <w:szCs w:val="24"/>
                <w:lang w:eastAsia="hu-HU"/>
              </w:rPr>
              <w:lastRenderedPageBreak/>
              <w:t xml:space="preserve">not singular, feminist method, and the paradigmatic frame through which women's lives are understood and theorized, a problem reified by both WOC feminists and white feminists. This is despite the fact that there are wide locational differences in the interest in intersectionality. As someone who works with graduate students at Rutgers, I encounter a variety of uneven and vexed responses to the importance of intersectionality, determined in part by variations among women's and gender studies programs and geographical regions--from students who have are well-schooled in the lexicon of intersectionality and presume a taken-for-grantedness of its effects, to those who have yet to encounter it as a central concept. </w:t>
            </w:r>
          </w:p>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t xml:space="preserve">This claim to intersectionality as the dominant feminist method can be produced with such insistence that an interest in exploring other frames, for example assemblage, gets rendered as problematic and even produces WOC feminists invested in other genealogies as "race-traitors." This accusation of course reinforces the implicit understanding that intersectionality is a tool to diagnose racial difference. Despite decades of feminist theorizing on the question of difference, difference continues to be "difference from", that is, the difference from "white woman." This is also then an ironic reification of racial difference as well—for example, Malini Joshar Schueller argues that most scholarship on WOC is produced by WOC, while many white feminists, although hailing intersectionality as primary methodological rubric continue to take gender difference as foundational. Much like the language of diversity, the language of intersectionality, its very invocation, it seems, largely substitutes for intersectional analysis itself. </w:t>
            </w:r>
          </w:p>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t>Further questions arise when the viability of intersectionality as a theoretical frame is re-situated within a changed historical and economic landscape of neo-liberal capitalism and identity. What does an intersectional critique look like—or more to the point, what does it do--in an age of neo-liberal pluralism, absorption and accommodation of difference, of all kinds of differences? If it is the case that intersectionality has been "mainstreamed" in the last two decades—a way to manage difference that colludes with dominant forms of liberal multiculturalism--is the qualitative force of the interpellation of “difference itself” altered or uncertain? Let me qualify that my concern is not about the formative, generative, and necessary intervention of Crenshaw's work, but of both the changed geopolitics of reception as well as a tendency towards reification in the deployment of intersectionality. Has intersectionality become, as Schueller argues</w:t>
            </w:r>
            <w:bookmarkStart w:id="6" w:name="_ftnref6"/>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"_ftn6"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[6]</w:t>
            </w:r>
            <w:r w:rsidRPr="00854284">
              <w:rPr>
                <w:rFonts w:ascii="Times New Roman" w:eastAsia="Times New Roman" w:hAnsi="Times New Roman" w:cs="Times New Roman"/>
                <w:sz w:val="24"/>
                <w:szCs w:val="24"/>
                <w:lang w:eastAsia="hu-HU"/>
              </w:rPr>
              <w:fldChar w:fldCharType="end"/>
            </w:r>
            <w:bookmarkEnd w:id="6"/>
            <w:r w:rsidRPr="00854284">
              <w:rPr>
                <w:rFonts w:ascii="Times New Roman" w:eastAsia="Times New Roman" w:hAnsi="Times New Roman" w:cs="Times New Roman"/>
                <w:sz w:val="24"/>
                <w:szCs w:val="24"/>
                <w:lang w:eastAsia="hu-HU"/>
              </w:rPr>
              <w:t xml:space="preserve">, an alibi for the re-centering of white liberal feminists? What is a poststructuralist theory of intersectionality that might address multicultural and post-racial discourses of inclusion that destabilizes the WOC as a prosthetic capacity to white women? </w:t>
            </w:r>
          </w:p>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t xml:space="preserve">Such questions also bring to the fore the geopolitical problems of intersectional analyses. </w:t>
            </w:r>
            <w:proofErr w:type="gramStart"/>
            <w:r w:rsidRPr="00854284">
              <w:rPr>
                <w:rFonts w:ascii="Times New Roman" w:eastAsia="Times New Roman" w:hAnsi="Times New Roman" w:cs="Times New Roman"/>
                <w:sz w:val="24"/>
                <w:szCs w:val="24"/>
                <w:lang w:eastAsia="hu-HU"/>
              </w:rPr>
              <w:t xml:space="preserve">If, as Avtar Brah and Ann Pheonix have </w:t>
            </w:r>
            <w:r w:rsidRPr="00854284">
              <w:rPr>
                <w:rFonts w:ascii="Times New Roman" w:eastAsia="Times New Roman" w:hAnsi="Times New Roman" w:cs="Times New Roman"/>
                <w:sz w:val="24"/>
                <w:szCs w:val="24"/>
                <w:lang w:eastAsia="hu-HU"/>
              </w:rPr>
              <w:lastRenderedPageBreak/>
              <w:t>argued, "old debates about the category woman have assumed new critical urgency”</w:t>
            </w:r>
            <w:bookmarkStart w:id="7" w:name="_ftnref7"/>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"_ftn7"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[7]</w:t>
            </w:r>
            <w:r w:rsidRPr="00854284">
              <w:rPr>
                <w:rFonts w:ascii="Times New Roman" w:eastAsia="Times New Roman" w:hAnsi="Times New Roman" w:cs="Times New Roman"/>
                <w:sz w:val="24"/>
                <w:szCs w:val="24"/>
                <w:lang w:eastAsia="hu-HU"/>
              </w:rPr>
              <w:fldChar w:fldCharType="end"/>
            </w:r>
            <w:bookmarkEnd w:id="7"/>
            <w:r w:rsidRPr="00854284">
              <w:rPr>
                <w:rFonts w:ascii="Times New Roman" w:eastAsia="Times New Roman" w:hAnsi="Times New Roman" w:cs="Times New Roman"/>
                <w:sz w:val="24"/>
                <w:szCs w:val="24"/>
                <w:lang w:eastAsia="hu-HU"/>
              </w:rPr>
              <w:t xml:space="preserve"> in the context of recent historical events, such as September 11</w:t>
            </w:r>
            <w:r w:rsidRPr="00854284">
              <w:rPr>
                <w:rFonts w:ascii="Times New Roman" w:eastAsia="Times New Roman" w:hAnsi="Times New Roman" w:cs="Times New Roman"/>
                <w:sz w:val="24"/>
                <w:szCs w:val="24"/>
                <w:vertAlign w:val="superscript"/>
                <w:lang w:eastAsia="hu-HU"/>
              </w:rPr>
              <w:t>th</w:t>
            </w:r>
            <w:r w:rsidRPr="00854284">
              <w:rPr>
                <w:rFonts w:ascii="Times New Roman" w:eastAsia="Times New Roman" w:hAnsi="Times New Roman" w:cs="Times New Roman"/>
                <w:sz w:val="24"/>
                <w:szCs w:val="24"/>
                <w:lang w:eastAsia="hu-HU"/>
              </w:rPr>
              <w:t>, and the occupation of Afghanistan and Iraq, transnational and postcolonial scholars continue to point out that the categories privileged by intersectional analysis do not necessarily traverse national and regional boundaries nor genealogical exigencies, presuming and producing static epistemological renderings of categories themselves across</w:t>
            </w:r>
            <w:proofErr w:type="gramEnd"/>
            <w:r w:rsidRPr="00854284">
              <w:rPr>
                <w:rFonts w:ascii="Times New Roman" w:eastAsia="Times New Roman" w:hAnsi="Times New Roman" w:cs="Times New Roman"/>
                <w:sz w:val="24"/>
                <w:szCs w:val="24"/>
                <w:lang w:eastAsia="hu-HU"/>
              </w:rPr>
              <w:t xml:space="preserve"> historical and geopolitical locations. Indeed, many of the cherished categories of the intersectional mantra, originally starting with race, class, gender, now including sexuality, nation, religion, age, and disability, are the product of modernist colonial agendas and regimes of epistemic violence, operative through a western/euro-american epistemological formation through which the whole notion of discrete identity has emerged, for example, in terms of sexuality and empire. Joseph Massad quite astutely points out, in his refinement of Foucauldian framings of sexuality, that the colonial project deployed "sexuality" as a concept that was largely internalized within intellectual and juridical realms but was not distilled as a widespread hegemonic project. So part of Massad's point is that while we might worry, for example, about the globalization of the term queer, we deflect from the much graver problem of the generalization and assumed transparency of the term sexuality itself—a taken for granted category of the modernist imperial project, not only an imposed epistemological frame, but also ontologically presumptuous--or in fact, an epistemological capture of an ontologically irreducible becoming. </w:t>
            </w:r>
          </w:p>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t>These problems are reproduced in feminist and gay and lesbian human rights discourses. As Nira Yuval Davis points out, “the analysis and methodology of intersectionality, especially in UN-related bodies is just emerging and often suffers from analytic confusions that have already been tackled by feminist scholars who have been working on these issues for longer…”</w:t>
            </w:r>
            <w:bookmarkStart w:id="8" w:name="_ftnref8"/>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"_ftn8"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[8]</w:t>
            </w:r>
            <w:r w:rsidRPr="00854284">
              <w:rPr>
                <w:rFonts w:ascii="Times New Roman" w:eastAsia="Times New Roman" w:hAnsi="Times New Roman" w:cs="Times New Roman"/>
                <w:sz w:val="24"/>
                <w:szCs w:val="24"/>
                <w:lang w:eastAsia="hu-HU"/>
              </w:rPr>
              <w:fldChar w:fldCharType="end"/>
            </w:r>
            <w:bookmarkEnd w:id="8"/>
            <w:r w:rsidRPr="00854284">
              <w:rPr>
                <w:rFonts w:ascii="Times New Roman" w:eastAsia="Times New Roman" w:hAnsi="Times New Roman" w:cs="Times New Roman"/>
                <w:sz w:val="24"/>
                <w:szCs w:val="24"/>
                <w:lang w:eastAsia="hu-HU"/>
              </w:rPr>
              <w:t xml:space="preserve">. To further complicate the travels of intersectional theorizing, in the U.S. intersectionality came from a very specific set of social movements, whereas in Europe, where the term is currently being widely taken up, the interest in intersectionality does not emerge from social movements. Rather, this newfound interest in intersectionality signals a much belated recognition of needing to theorize race, and also functions as a form of the field of European women's studies “catching up institutionally" with U.S. women’s studies. For these reasons, the category “nation” appears to be the least theorized and acknowledged of intersectional categories, rendered through a form of globalizing transparency. The U.S. is reproduced as the dominant site of feminist inquiry through the use of intersectionality as a heuristic to teach difference. Thus, the euro-american bias of women’s studies and history of feminism is ironically reiterated via intersectionality, eliding the main intervention of transnational and postcolonial </w:t>
            </w:r>
            <w:r w:rsidRPr="00854284">
              <w:rPr>
                <w:rFonts w:ascii="Times New Roman" w:eastAsia="Times New Roman" w:hAnsi="Times New Roman" w:cs="Times New Roman"/>
                <w:sz w:val="24"/>
                <w:szCs w:val="24"/>
                <w:lang w:eastAsia="hu-HU"/>
              </w:rPr>
              <w:lastRenderedPageBreak/>
              <w:t>feminist scholars since the 1990’s, which has been, in part, about destabilizing the nation-centered production of the category WOC.</w:t>
            </w:r>
            <w:bookmarkStart w:id="9" w:name="_ftnref9"/>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"_ftn9"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[9]</w:t>
            </w:r>
            <w:r w:rsidRPr="00854284">
              <w:rPr>
                <w:rFonts w:ascii="Times New Roman" w:eastAsia="Times New Roman" w:hAnsi="Times New Roman" w:cs="Times New Roman"/>
                <w:sz w:val="24"/>
                <w:szCs w:val="24"/>
                <w:lang w:eastAsia="hu-HU"/>
              </w:rPr>
              <w:fldChar w:fldCharType="end"/>
            </w:r>
            <w:bookmarkEnd w:id="9"/>
            <w:r w:rsidRPr="00854284">
              <w:rPr>
                <w:rFonts w:ascii="Times New Roman" w:eastAsia="Times New Roman" w:hAnsi="Times New Roman" w:cs="Times New Roman"/>
                <w:sz w:val="24"/>
                <w:szCs w:val="24"/>
                <w:lang w:eastAsia="hu-HU"/>
              </w:rPr>
              <w:t xml:space="preserve"> </w:t>
            </w:r>
          </w:p>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t>A final concern is that intersectionality functions as a problematic reinvestment in the subject, in particular, the subject X. Rey Chow has produced the most damning critique of what she calls “poststructuralist significatory incarceration”</w:t>
            </w:r>
            <w:bookmarkStart w:id="10" w:name="_ftnref10"/>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"_ftn10"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[10]</w:t>
            </w:r>
            <w:r w:rsidRPr="00854284">
              <w:rPr>
                <w:rFonts w:ascii="Times New Roman" w:eastAsia="Times New Roman" w:hAnsi="Times New Roman" w:cs="Times New Roman"/>
                <w:sz w:val="24"/>
                <w:szCs w:val="24"/>
                <w:lang w:eastAsia="hu-HU"/>
              </w:rPr>
              <w:fldChar w:fldCharType="end"/>
            </w:r>
            <w:bookmarkEnd w:id="10"/>
            <w:r w:rsidRPr="00854284">
              <w:rPr>
                <w:rFonts w:ascii="Times New Roman" w:eastAsia="Times New Roman" w:hAnsi="Times New Roman" w:cs="Times New Roman"/>
                <w:sz w:val="24"/>
                <w:szCs w:val="24"/>
                <w:lang w:eastAsia="hu-HU"/>
              </w:rPr>
              <w:t xml:space="preserve">, seriously questioning whether the marginalized subject is still a viable site from which to produce politics, much less whether the subject is a necessary precursor for politics. "Difference" produces new subjects of inquiry that then infinitely multiplies exclusion in order to promote inclusion. Difference now proceeds and defines identity. Part of her concern is that poststructuralist efforts to attend to the specificity of Others has become one, </w:t>
            </w:r>
            <w:proofErr w:type="gramStart"/>
            <w:r w:rsidRPr="00854284">
              <w:rPr>
                <w:rFonts w:ascii="Times New Roman" w:eastAsia="Times New Roman" w:hAnsi="Times New Roman" w:cs="Times New Roman"/>
                <w:sz w:val="24"/>
                <w:szCs w:val="24"/>
                <w:lang w:eastAsia="hu-HU"/>
              </w:rPr>
              <w:t>a</w:t>
            </w:r>
            <w:proofErr w:type="gramEnd"/>
            <w:r w:rsidRPr="00854284">
              <w:rPr>
                <w:rFonts w:ascii="Times New Roman" w:eastAsia="Times New Roman" w:hAnsi="Times New Roman" w:cs="Times New Roman"/>
                <w:sz w:val="24"/>
                <w:szCs w:val="24"/>
                <w:lang w:eastAsia="hu-HU"/>
              </w:rPr>
              <w:t xml:space="preserve"> universalizing project and two, always beholden to the self-referentiality of the “center”, ironic given that intersectionality has now come to be deployed as a call for and a form of anti-essentialism. </w:t>
            </w:r>
            <w:bookmarkStart w:id="11" w:name="_ftnref11"/>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"_ftn11"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[11]</w:t>
            </w:r>
            <w:r w:rsidRPr="00854284">
              <w:rPr>
                <w:rFonts w:ascii="Times New Roman" w:eastAsia="Times New Roman" w:hAnsi="Times New Roman" w:cs="Times New Roman"/>
                <w:sz w:val="24"/>
                <w:szCs w:val="24"/>
                <w:lang w:eastAsia="hu-HU"/>
              </w:rPr>
              <w:fldChar w:fldCharType="end"/>
            </w:r>
            <w:bookmarkEnd w:id="11"/>
            <w:r w:rsidRPr="00854284">
              <w:rPr>
                <w:rFonts w:ascii="Times New Roman" w:eastAsia="Times New Roman" w:hAnsi="Times New Roman" w:cs="Times New Roman"/>
                <w:sz w:val="24"/>
                <w:szCs w:val="24"/>
                <w:lang w:eastAsia="hu-HU"/>
              </w:rPr>
              <w:t xml:space="preserve"> The poststructuralist fatigue Chow describes is simple: Subject X may be different in content, but shows up, time and again, the same in form. (We can see this in the entrance of both "trans" identity and "disability" into the intersectional fray.) </w:t>
            </w:r>
          </w:p>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br/>
            </w:r>
            <w:r w:rsidRPr="00854284">
              <w:rPr>
                <w:rFonts w:ascii="Times New Roman" w:eastAsia="Times New Roman" w:hAnsi="Times New Roman" w:cs="Times New Roman"/>
                <w:b/>
                <w:bCs/>
                <w:sz w:val="24"/>
                <w:szCs w:val="24"/>
                <w:lang w:eastAsia="hu-HU"/>
              </w:rPr>
              <w:t>Cyborgs and Other Companionate Assemblages</w:t>
            </w:r>
          </w:p>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854284">
              <w:rPr>
                <w:rFonts w:ascii="Times New Roman" w:eastAsia="Times New Roman" w:hAnsi="Times New Roman" w:cs="Times New Roman"/>
                <w:sz w:val="24"/>
                <w:szCs w:val="24"/>
                <w:lang w:eastAsia="hu-HU"/>
              </w:rPr>
              <w:t xml:space="preserve">The literature on intersectionality has also been enhanced by the focus on representational politics, driven by Judith Butler’s </w:t>
            </w:r>
            <w:r w:rsidRPr="00854284">
              <w:rPr>
                <w:rFonts w:ascii="Times New Roman" w:eastAsia="Times New Roman" w:hAnsi="Times New Roman" w:cs="Times New Roman"/>
                <w:i/>
                <w:iCs/>
                <w:sz w:val="24"/>
                <w:szCs w:val="24"/>
                <w:lang w:eastAsia="hu-HU"/>
              </w:rPr>
              <w:t>Gender Trouble</w:t>
            </w:r>
            <w:r w:rsidRPr="00854284">
              <w:rPr>
                <w:rFonts w:ascii="Times New Roman" w:eastAsia="Times New Roman" w:hAnsi="Times New Roman" w:cs="Times New Roman"/>
                <w:sz w:val="24"/>
                <w:szCs w:val="24"/>
                <w:lang w:eastAsia="hu-HU"/>
              </w:rPr>
              <w:t xml:space="preserve"> and also Gayatri Spivak's </w:t>
            </w:r>
            <w:r w:rsidRPr="00854284">
              <w:rPr>
                <w:rFonts w:ascii="Times New Roman" w:eastAsia="Times New Roman" w:hAnsi="Times New Roman" w:cs="Times New Roman"/>
                <w:i/>
                <w:iCs/>
                <w:sz w:val="24"/>
                <w:szCs w:val="24"/>
                <w:lang w:eastAsia="hu-HU"/>
              </w:rPr>
              <w:t>Can the Subaltern Speak</w:t>
            </w:r>
            <w:bookmarkStart w:id="12" w:name="_ftnref12"/>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"_ftn12"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[12]</w:t>
            </w:r>
            <w:r w:rsidRPr="00854284">
              <w:rPr>
                <w:rFonts w:ascii="Times New Roman" w:eastAsia="Times New Roman" w:hAnsi="Times New Roman" w:cs="Times New Roman"/>
                <w:sz w:val="24"/>
                <w:szCs w:val="24"/>
                <w:lang w:eastAsia="hu-HU"/>
              </w:rPr>
              <w:fldChar w:fldCharType="end"/>
            </w:r>
            <w:bookmarkEnd w:id="12"/>
            <w:r w:rsidRPr="00854284">
              <w:rPr>
                <w:rFonts w:ascii="Times New Roman" w:eastAsia="Times New Roman" w:hAnsi="Times New Roman" w:cs="Times New Roman"/>
                <w:sz w:val="24"/>
                <w:szCs w:val="24"/>
                <w:lang w:eastAsia="hu-HU"/>
              </w:rPr>
              <w:t>. Rarely have scholars concerned with the impact and development of representational politics come into dialogue with those convinced of the non-representational referent of "matter itself"--Donna Haraway, Elizabeth Grosz, Elizabeth Wilson, Karan Barad, Patricia Clough, Dianne Currier, Vicky Kirby, Miriam Fraser, Luciana Parisi, to</w:t>
            </w:r>
            <w:proofErr w:type="gramEnd"/>
            <w:r w:rsidRPr="00854284">
              <w:rPr>
                <w:rFonts w:ascii="Times New Roman" w:eastAsia="Times New Roman" w:hAnsi="Times New Roman" w:cs="Times New Roman"/>
                <w:sz w:val="24"/>
                <w:szCs w:val="24"/>
                <w:lang w:eastAsia="hu-HU"/>
              </w:rPr>
              <w:t xml:space="preserve"> name a few. Divested from subject formation but for different reasons, these feminist scholars in science and technology studies inflected by Deleuzian thought have been concerned about bodily matter, claiming its liminality cannot be captured by intersectional subject positioning. They proffer instead the notion that bodies are unstable assemblages that cannot be seamlessly disaggregated into identity formations. Elizabeth Grosz, for example, foregrounding its spatial and temporal essentializations, calls intersectionality “a gridlock model that fails to account for the mutual constitution and indeterminacy of embodied configurations of gender, sexuality, race, class, and nation.”</w:t>
            </w:r>
            <w:bookmarkStart w:id="13" w:name="_ftnref13"/>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"_ftn13"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[13]</w:t>
            </w:r>
            <w:r w:rsidRPr="00854284">
              <w:rPr>
                <w:rFonts w:ascii="Times New Roman" w:eastAsia="Times New Roman" w:hAnsi="Times New Roman" w:cs="Times New Roman"/>
                <w:sz w:val="24"/>
                <w:szCs w:val="24"/>
                <w:lang w:eastAsia="hu-HU"/>
              </w:rPr>
              <w:fldChar w:fldCharType="end"/>
            </w:r>
            <w:bookmarkEnd w:id="13"/>
            <w:r w:rsidRPr="00854284">
              <w:rPr>
                <w:rFonts w:ascii="Times New Roman" w:eastAsia="Times New Roman" w:hAnsi="Times New Roman" w:cs="Times New Roman"/>
                <w:sz w:val="24"/>
                <w:szCs w:val="24"/>
                <w:lang w:eastAsia="hu-HU"/>
              </w:rPr>
              <w:t xml:space="preserve"> </w:t>
            </w:r>
          </w:p>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t>Donna Haraway has been the most influential of this group. In a leading text from this literature she famously stated, as the very last line in her groundbreaking 1985 essay "A Manifesto for Cyborgs"</w:t>
            </w:r>
            <w:bookmarkStart w:id="14" w:name="_ftnref14"/>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"_ftn14"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[14]</w:t>
            </w:r>
            <w:r w:rsidRPr="00854284">
              <w:rPr>
                <w:rFonts w:ascii="Times New Roman" w:eastAsia="Times New Roman" w:hAnsi="Times New Roman" w:cs="Times New Roman"/>
                <w:sz w:val="24"/>
                <w:szCs w:val="24"/>
                <w:lang w:eastAsia="hu-HU"/>
              </w:rPr>
              <w:fldChar w:fldCharType="end"/>
            </w:r>
            <w:bookmarkEnd w:id="14"/>
            <w:r w:rsidRPr="00854284">
              <w:rPr>
                <w:rFonts w:ascii="Times New Roman" w:eastAsia="Times New Roman" w:hAnsi="Times New Roman" w:cs="Times New Roman"/>
                <w:sz w:val="24"/>
                <w:szCs w:val="24"/>
                <w:lang w:eastAsia="hu-HU"/>
              </w:rPr>
              <w:t xml:space="preserve"> that she would rather be a cyborg than a goddess, favoring the postmodern technologized figure of techno-human hybridity—the body as an information construct--over the reclamation of a racialized, matriarchal past (thus implicitly invoking this binary </w:t>
            </w:r>
            <w:r w:rsidRPr="00854284">
              <w:rPr>
                <w:rFonts w:ascii="Times New Roman" w:eastAsia="Times New Roman" w:hAnsi="Times New Roman" w:cs="Times New Roman"/>
                <w:sz w:val="24"/>
                <w:szCs w:val="24"/>
                <w:lang w:eastAsia="hu-HU"/>
              </w:rPr>
              <w:lastRenderedPageBreak/>
              <w:t xml:space="preserve">between intersectionality and assemblage). </w:t>
            </w:r>
            <w:proofErr w:type="gramStart"/>
            <w:r w:rsidRPr="00854284">
              <w:rPr>
                <w:rFonts w:ascii="Times New Roman" w:eastAsia="Times New Roman" w:hAnsi="Times New Roman" w:cs="Times New Roman"/>
                <w:sz w:val="24"/>
                <w:szCs w:val="24"/>
                <w:lang w:eastAsia="hu-HU"/>
              </w:rPr>
              <w:t>While several theorists have critiqued Haraway's use of the trope of woman of color to signify a cyborg par excellence, including Chela Sandoval and Malini Joshar Schueller (who has argued that women of color function as a prosthetic to the cyborg myth</w:t>
            </w:r>
            <w:bookmarkStart w:id="15" w:name="_ftnref15"/>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"_ftn15"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[15]</w:t>
            </w:r>
            <w:r w:rsidRPr="00854284">
              <w:rPr>
                <w:rFonts w:ascii="Times New Roman" w:eastAsia="Times New Roman" w:hAnsi="Times New Roman" w:cs="Times New Roman"/>
                <w:sz w:val="24"/>
                <w:szCs w:val="24"/>
                <w:lang w:eastAsia="hu-HU"/>
              </w:rPr>
              <w:fldChar w:fldCharType="end"/>
            </w:r>
            <w:bookmarkEnd w:id="15"/>
            <w:r w:rsidRPr="00854284">
              <w:rPr>
                <w:rFonts w:ascii="Times New Roman" w:eastAsia="Times New Roman" w:hAnsi="Times New Roman" w:cs="Times New Roman"/>
                <w:sz w:val="24"/>
                <w:szCs w:val="24"/>
                <w:lang w:eastAsia="hu-HU"/>
              </w:rPr>
              <w:t>, which as I point out earlier, is not unlike how WOC function in relation to intersectionality), there has yet to be a serious interrogation of what these theories on matter and mattering might bring to conceptualizations of intersectionality.</w:t>
            </w:r>
            <w:proofErr w:type="gramEnd"/>
            <w:r w:rsidRPr="00854284">
              <w:rPr>
                <w:rFonts w:ascii="Times New Roman" w:eastAsia="Times New Roman" w:hAnsi="Times New Roman" w:cs="Times New Roman"/>
                <w:sz w:val="24"/>
                <w:szCs w:val="24"/>
                <w:lang w:eastAsia="hu-HU"/>
              </w:rPr>
              <w:t xml:space="preserve"> Indeed Schuellar has argued that this focus on matter, driven by science and technology studies, produces and is produced by a desire to avoid theorizing race. This is most certainly a legitimate complaint, but it also bypasses the issues being raised here, namely a critique of linguistic performativity that presumes that everything resides within signification. For Haraway, even though cyborgs are meant to undermine binaries--of humans and animals, of humans and machines, and of physical and non-physical—a cyborg actually inhabits an intersection--of body and technology, as Vicky Kirby, Dianne Currier, and others have argued. Dianne Currier writes: “in the construction of a cyborg, technologies are added to impact upon, and at some point intersect with a discrete, non-technological ‘body.’” “Thus, insofar as the hybrid cyborg is forged in the intermeshing of technology with a body, in a process of addition, it leaves largely intact those two categories—(human) body and technology—that preceded the conjunction.” “effectively reinscribing the cyborg into the binary logic of identity which Haraway hopes to circumvent.” </w:t>
            </w:r>
            <w:bookmarkStart w:id="16" w:name="_ftnref16"/>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"_ftn16"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[16]</w:t>
            </w:r>
            <w:r w:rsidRPr="00854284">
              <w:rPr>
                <w:rFonts w:ascii="Times New Roman" w:eastAsia="Times New Roman" w:hAnsi="Times New Roman" w:cs="Times New Roman"/>
                <w:sz w:val="24"/>
                <w:szCs w:val="24"/>
                <w:lang w:eastAsia="hu-HU"/>
              </w:rPr>
              <w:fldChar w:fldCharType="end"/>
            </w:r>
            <w:bookmarkEnd w:id="16"/>
            <w:r w:rsidRPr="00854284">
              <w:rPr>
                <w:rFonts w:ascii="Times New Roman" w:eastAsia="Times New Roman" w:hAnsi="Times New Roman" w:cs="Times New Roman"/>
                <w:sz w:val="24"/>
                <w:szCs w:val="24"/>
                <w:lang w:eastAsia="hu-HU"/>
              </w:rPr>
              <w:t>. Haraway does not actually approach a human/animal/machine nexus, though more recent theorizations of the nature/culture divide, by Luciana Parisi for example, demarcate the biophysical, the biocultural, and the biodigital.</w:t>
            </w:r>
            <w:bookmarkStart w:id="17" w:name="_ftnref17"/>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"_ftn17"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[17]</w:t>
            </w:r>
            <w:r w:rsidRPr="00854284">
              <w:rPr>
                <w:rFonts w:ascii="Times New Roman" w:eastAsia="Times New Roman" w:hAnsi="Times New Roman" w:cs="Times New Roman"/>
                <w:sz w:val="24"/>
                <w:szCs w:val="24"/>
                <w:lang w:eastAsia="hu-HU"/>
              </w:rPr>
              <w:fldChar w:fldCharType="end"/>
            </w:r>
            <w:bookmarkEnd w:id="17"/>
            <w:r w:rsidRPr="00854284">
              <w:rPr>
                <w:rFonts w:ascii="Times New Roman" w:eastAsia="Times New Roman" w:hAnsi="Times New Roman" w:cs="Times New Roman"/>
                <w:sz w:val="24"/>
                <w:szCs w:val="24"/>
                <w:lang w:eastAsia="hu-HU"/>
              </w:rPr>
              <w:t xml:space="preserve"> Still, the question of how the body is materialized, rather than what the body signifies, is the dominant one in this literature. </w:t>
            </w:r>
          </w:p>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t>Assemblage is actually an awkward translation--the original term in Deleuze and Guattari's work is not the French word assemblage, but actually Agencement, a term which means design, layout, organization, arrangement, and relations--the focus being not on content but on relations, relations of patterns. For Agencement, as John Phillips explains in a recent essay, specific *connections* with other concepts is precisely what gives concepts their meaning. As Phillips writes, the priority is neither to the state of affairs (essence) nor to statement (enunciation) but rather to connection.</w:t>
            </w:r>
            <w:bookmarkStart w:id="18" w:name="_ftnref18"/>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"_ftn18"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[18]</w:t>
            </w:r>
            <w:r w:rsidRPr="00854284">
              <w:rPr>
                <w:rFonts w:ascii="Times New Roman" w:eastAsia="Times New Roman" w:hAnsi="Times New Roman" w:cs="Times New Roman"/>
                <w:sz w:val="24"/>
                <w:szCs w:val="24"/>
                <w:lang w:eastAsia="hu-HU"/>
              </w:rPr>
              <w:fldChar w:fldCharType="end"/>
            </w:r>
            <w:bookmarkEnd w:id="18"/>
            <w:r w:rsidRPr="00854284">
              <w:rPr>
                <w:rFonts w:ascii="Times New Roman" w:eastAsia="Times New Roman" w:hAnsi="Times New Roman" w:cs="Times New Roman"/>
                <w:sz w:val="24"/>
                <w:szCs w:val="24"/>
                <w:lang w:eastAsia="hu-HU"/>
              </w:rPr>
              <w:t xml:space="preserve"> The French and English definitions of assemblage lean more to collection, combination, assembling, and both are also used as a term signaling collage in avant garde art. (So one question which I cannot attend to but that haunts this traversal from French theoretical production to U.S. academic usage is, what are the productive effects of this "mis" translation?) </w:t>
            </w:r>
          </w:p>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t xml:space="preserve">There are thus numerous ways to define what assemblages are, but I am here more interested in what assemblages do. For my purposes, </w:t>
            </w:r>
            <w:r w:rsidRPr="00854284">
              <w:rPr>
                <w:rFonts w:ascii="Times New Roman" w:eastAsia="Times New Roman" w:hAnsi="Times New Roman" w:cs="Times New Roman"/>
                <w:sz w:val="24"/>
                <w:szCs w:val="24"/>
                <w:lang w:eastAsia="hu-HU"/>
              </w:rPr>
              <w:lastRenderedPageBreak/>
              <w:t xml:space="preserve">assemblages are interesting because A. They de-privilege the human body as a discrete organic thing. As Haraway notes, the body does not end at the skin. We leave traces of our DNA everywhere we go, we live with other bodies within us, microbes and bacteria, we are enmeshed in forces, affects, energies, we are composites of information. B. Assemblages do not privilege bodies as human, nor as residing within a human/animal binary. Along with a de-exceptionalizing of human bodies, multiple forms of matter can be bodies—bodies of water, cities, institutions, and so on. Matter is an actor. Following Karen Barad on her theory of performative metaphysics, matter is not a ‘thing’ but a doing. In particular, Barad challenges dominant notions of performativity that operate through an implicit distinction between signification and that which is signified, stating that matter does not only materialize through signification alone. Writes Barad: </w:t>
            </w:r>
          </w:p>
          <w:p w:rsidR="00854284" w:rsidRPr="00854284" w:rsidRDefault="00854284" w:rsidP="00854284">
            <w:pPr>
              <w:spacing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t>“A performative understanding of discursive practices challenges the representationalist belief in the power of words to represent preexisting things. Performativity, properly construed, is not an invitation to turn everything (including material bodies) into words; on the contrary, performativity is precisely a contestation of the excessive power granted to language to determine what is real. Hence, in ironic contrast to the monism that takes language to be the stuff of reality, performativity is actually a contestation of the unexamined habits of mind that grant language and other forms of representation more power in determining our ontologies than they deserve.”</w:t>
            </w:r>
            <w:bookmarkStart w:id="19" w:name="_ftnref19"/>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"_ftn19"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[19]</w:t>
            </w:r>
            <w:r w:rsidRPr="00854284">
              <w:rPr>
                <w:rFonts w:ascii="Times New Roman" w:eastAsia="Times New Roman" w:hAnsi="Times New Roman" w:cs="Times New Roman"/>
                <w:sz w:val="24"/>
                <w:szCs w:val="24"/>
                <w:lang w:eastAsia="hu-HU"/>
              </w:rPr>
              <w:fldChar w:fldCharType="end"/>
            </w:r>
            <w:bookmarkEnd w:id="19"/>
          </w:p>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t xml:space="preserve">Barad’s is a posthumanist framing that questions the boundaries between human and non-human, matter and discourse, and interrogates the practices through which these boundaries are constituted, stabilized, and destabilized. C. Signification is only one element of many that give a substance both meaning and capacity. In his latest book </w:t>
            </w:r>
            <w:r w:rsidRPr="00854284">
              <w:rPr>
                <w:rFonts w:ascii="Times New Roman" w:eastAsia="Times New Roman" w:hAnsi="Times New Roman" w:cs="Times New Roman"/>
                <w:i/>
                <w:iCs/>
                <w:sz w:val="24"/>
                <w:szCs w:val="24"/>
                <w:lang w:eastAsia="hu-HU"/>
              </w:rPr>
              <w:t>A New Philosophy of Society: Assemblage Theory and Social Complexity</w:t>
            </w:r>
            <w:r w:rsidRPr="00854284">
              <w:rPr>
                <w:rFonts w:ascii="Times New Roman" w:eastAsia="Times New Roman" w:hAnsi="Times New Roman" w:cs="Times New Roman"/>
                <w:sz w:val="24"/>
                <w:szCs w:val="24"/>
                <w:lang w:eastAsia="hu-HU"/>
              </w:rPr>
              <w:t>, Manual DeLanda undertakes the radical move to "make language last."</w:t>
            </w:r>
            <w:bookmarkStart w:id="20" w:name="_ftnref20"/>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"_ftn20"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[20]</w:t>
            </w:r>
            <w:r w:rsidRPr="00854284">
              <w:rPr>
                <w:rFonts w:ascii="Times New Roman" w:eastAsia="Times New Roman" w:hAnsi="Times New Roman" w:cs="Times New Roman"/>
                <w:sz w:val="24"/>
                <w:szCs w:val="24"/>
                <w:lang w:eastAsia="hu-HU"/>
              </w:rPr>
              <w:fldChar w:fldCharType="end"/>
            </w:r>
            <w:bookmarkEnd w:id="20"/>
            <w:r w:rsidRPr="00854284">
              <w:rPr>
                <w:rFonts w:ascii="Times New Roman" w:eastAsia="Times New Roman" w:hAnsi="Times New Roman" w:cs="Times New Roman"/>
                <w:sz w:val="24"/>
                <w:szCs w:val="24"/>
                <w:lang w:eastAsia="hu-HU"/>
              </w:rPr>
              <w:t xml:space="preserve"> In this post, post-structuralist framing, essentialism, which is usually posited as the opposite of social constructionism, is now placed squarely within the realms of signification and language, what Delanda and others have called "linguistic essentalism." As Karen Barad claims, "language has been granted too much power."</w:t>
            </w:r>
            <w:bookmarkStart w:id="21" w:name="_ftnref21"/>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"_ftn21"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[21]</w:t>
            </w:r>
            <w:r w:rsidRPr="00854284">
              <w:rPr>
                <w:rFonts w:ascii="Times New Roman" w:eastAsia="Times New Roman" w:hAnsi="Times New Roman" w:cs="Times New Roman"/>
                <w:sz w:val="24"/>
                <w:szCs w:val="24"/>
                <w:lang w:eastAsia="hu-HU"/>
              </w:rPr>
              <w:fldChar w:fldCharType="end"/>
            </w:r>
            <w:bookmarkEnd w:id="21"/>
            <w:r w:rsidRPr="00854284">
              <w:rPr>
                <w:rFonts w:ascii="Times New Roman" w:eastAsia="Times New Roman" w:hAnsi="Times New Roman" w:cs="Times New Roman"/>
                <w:sz w:val="24"/>
                <w:szCs w:val="24"/>
                <w:lang w:eastAsia="hu-HU"/>
              </w:rPr>
              <w:t xml:space="preserve"> (The danger of her notion of "ontological realism" is that it may well privilege an essentialized truth produced through matter.) D. Finally, categories—race, gender, sexuality—are considered events, actions, and encounters, between bodies, rather than simply entities and attributes of subjects. Situated along a "vertical and horizontal axis", assemblages come into existence within processes of deterritorialization and reterritorialization. In</w:t>
            </w:r>
            <w:r w:rsidRPr="00854284">
              <w:rPr>
                <w:rFonts w:ascii="Times New Roman" w:eastAsia="Times New Roman" w:hAnsi="Times New Roman" w:cs="Times New Roman"/>
                <w:i/>
                <w:iCs/>
                <w:sz w:val="24"/>
                <w:szCs w:val="24"/>
                <w:lang w:eastAsia="hu-HU"/>
              </w:rPr>
              <w:t xml:space="preserve"> A Thousand Plateaus</w:t>
            </w:r>
            <w:r w:rsidRPr="00854284">
              <w:rPr>
                <w:rFonts w:ascii="Times New Roman" w:eastAsia="Times New Roman" w:hAnsi="Times New Roman" w:cs="Times New Roman"/>
                <w:sz w:val="24"/>
                <w:szCs w:val="24"/>
                <w:lang w:eastAsia="hu-HU"/>
              </w:rPr>
              <w:t xml:space="preserve">, Deleuze and Guattari problematize a model that produces a constant in order to establish its variations. Instead, they argue, assemblages foreground no constant but rather “variation to variation” and hence the event-ness of </w:t>
            </w:r>
            <w:r w:rsidRPr="00854284">
              <w:rPr>
                <w:rFonts w:ascii="Times New Roman" w:eastAsia="Times New Roman" w:hAnsi="Times New Roman" w:cs="Times New Roman"/>
                <w:sz w:val="24"/>
                <w:szCs w:val="24"/>
                <w:lang w:eastAsia="hu-HU"/>
              </w:rPr>
              <w:lastRenderedPageBreak/>
              <w:t>identity.</w:t>
            </w:r>
            <w:bookmarkStart w:id="22" w:name="_ftnref22"/>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"_ftn22"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[22]</w:t>
            </w:r>
            <w:r w:rsidRPr="00854284">
              <w:rPr>
                <w:rFonts w:ascii="Times New Roman" w:eastAsia="Times New Roman" w:hAnsi="Times New Roman" w:cs="Times New Roman"/>
                <w:sz w:val="24"/>
                <w:szCs w:val="24"/>
                <w:lang w:eastAsia="hu-HU"/>
              </w:rPr>
              <w:fldChar w:fldCharType="end"/>
            </w:r>
            <w:bookmarkEnd w:id="22"/>
            <w:r w:rsidRPr="00854284">
              <w:rPr>
                <w:rFonts w:ascii="Times New Roman" w:eastAsia="Times New Roman" w:hAnsi="Times New Roman" w:cs="Times New Roman"/>
                <w:sz w:val="24"/>
                <w:szCs w:val="24"/>
                <w:lang w:eastAsia="hu-HU"/>
              </w:rPr>
              <w:t xml:space="preserve"> DeLanda thus argues that race and gender are situated as attributes only within a study of “the pattern of recurring links, as well as the properties of those links.” </w:t>
            </w:r>
            <w:bookmarkStart w:id="23" w:name="_ftnref23"/>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"_ftn23"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[23]</w:t>
            </w:r>
            <w:r w:rsidRPr="00854284">
              <w:rPr>
                <w:rFonts w:ascii="Times New Roman" w:eastAsia="Times New Roman" w:hAnsi="Times New Roman" w:cs="Times New Roman"/>
                <w:sz w:val="24"/>
                <w:szCs w:val="24"/>
                <w:lang w:eastAsia="hu-HU"/>
              </w:rPr>
              <w:fldChar w:fldCharType="end"/>
            </w:r>
            <w:bookmarkEnd w:id="23"/>
          </w:p>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br/>
            </w:r>
            <w:r w:rsidRPr="00854284">
              <w:rPr>
                <w:rFonts w:ascii="Times New Roman" w:eastAsia="Times New Roman" w:hAnsi="Times New Roman" w:cs="Times New Roman"/>
                <w:b/>
                <w:bCs/>
                <w:sz w:val="24"/>
                <w:szCs w:val="24"/>
                <w:lang w:eastAsia="hu-HU"/>
              </w:rPr>
              <w:t>Re-reading Intersectionality as Assemblage</w:t>
            </w:r>
          </w:p>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t xml:space="preserve">One of Kimberle Crenshaw’s foundational examples--that of the traffic intersection—actually situates intersectionality as an event. As Crenshaw writes, “Consider an analogy to traffic in an intersection, coming and going in all four directions. Discrimination, like traffic through an intersection, may flow in one direction, and it may flow in another. If an accident happens in an intersection, it can be caused by cars traveling from any number of directions and, sometimes, from all of them.” And later: “But it is not always easy to reconstruct an accident: Sometimes the skid marks and the injuries simply indicate that they occurred simultaneously, frustrating efforts to determine which driver caused the harm. In these cases the tendency seems to be that </w:t>
            </w:r>
            <w:proofErr w:type="gramStart"/>
            <w:r w:rsidRPr="00854284">
              <w:rPr>
                <w:rFonts w:ascii="Times New Roman" w:eastAsia="Times New Roman" w:hAnsi="Times New Roman" w:cs="Times New Roman"/>
                <w:sz w:val="24"/>
                <w:szCs w:val="24"/>
                <w:lang w:eastAsia="hu-HU"/>
              </w:rPr>
              <w:t>no</w:t>
            </w:r>
            <w:proofErr w:type="gramEnd"/>
            <w:r w:rsidRPr="00854284">
              <w:rPr>
                <w:rFonts w:ascii="Times New Roman" w:eastAsia="Times New Roman" w:hAnsi="Times New Roman" w:cs="Times New Roman"/>
                <w:sz w:val="24"/>
                <w:szCs w:val="24"/>
                <w:lang w:eastAsia="hu-HU"/>
              </w:rPr>
              <w:t xml:space="preserve"> driver is held responsible, no treatment is administered, and the involved parties simply get back in their cars and zoom away.” </w:t>
            </w:r>
            <w:bookmarkStart w:id="24" w:name="_ftnref24"/>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"_ftn24"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[24]</w:t>
            </w:r>
            <w:r w:rsidRPr="00854284">
              <w:rPr>
                <w:rFonts w:ascii="Times New Roman" w:eastAsia="Times New Roman" w:hAnsi="Times New Roman" w:cs="Times New Roman"/>
                <w:sz w:val="24"/>
                <w:szCs w:val="24"/>
                <w:lang w:eastAsia="hu-HU"/>
              </w:rPr>
              <w:fldChar w:fldCharType="end"/>
            </w:r>
            <w:bookmarkEnd w:id="24"/>
            <w:r w:rsidRPr="00854284">
              <w:rPr>
                <w:rFonts w:ascii="Times New Roman" w:eastAsia="Times New Roman" w:hAnsi="Times New Roman" w:cs="Times New Roman"/>
                <w:sz w:val="24"/>
                <w:szCs w:val="24"/>
                <w:lang w:eastAsia="hu-HU"/>
              </w:rPr>
              <w:t>.</w:t>
            </w:r>
          </w:p>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t xml:space="preserve">As Crenshaw indicates in this description, identification is a process; identity is an encounter, an event, an accident, in fact. Identities are multi-causal, multi-directional, liminal; traces aren’t always self-evident. In this "becoming of intersectionality," there is emphasis on motion rather than gridlock; on how the halting of motion produces the demand to locate. The accident itself indicates the entry of the standardizing needs to the juridical; is there a crime taking place? How does one determine who is at fault? Intersectionality is thus a much more porous paradigm than the standardization of method inherent to a discipline has allowed it to be; the institutionalization of women's studies in the U.S. has led to demands for a subject/s (subject X, in fact) and a method. </w:t>
            </w:r>
          </w:p>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t xml:space="preserve">Another of Crenshaw's primary concerns is with the structural prejudices of domestic violence: unequal access to services, representational and re-presentational biases in the legal system. I want to turn now to a moment in Brian Massumi's </w:t>
            </w:r>
            <w:r w:rsidRPr="00854284">
              <w:rPr>
                <w:rFonts w:ascii="Times New Roman" w:eastAsia="Times New Roman" w:hAnsi="Times New Roman" w:cs="Times New Roman"/>
                <w:i/>
                <w:iCs/>
                <w:sz w:val="24"/>
                <w:szCs w:val="24"/>
                <w:lang w:eastAsia="hu-HU"/>
              </w:rPr>
              <w:t>Parables for the Virtual</w:t>
            </w:r>
            <w:r w:rsidRPr="00854284">
              <w:rPr>
                <w:rFonts w:ascii="Times New Roman" w:eastAsia="Times New Roman" w:hAnsi="Times New Roman" w:cs="Times New Roman"/>
                <w:sz w:val="24"/>
                <w:szCs w:val="24"/>
                <w:lang w:eastAsia="hu-HU"/>
              </w:rPr>
              <w:t xml:space="preserve"> where he reads domestic violence through the "home event-space."</w:t>
            </w:r>
            <w:bookmarkStart w:id="25" w:name="_ftnref25"/>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"_ftn25"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[25]</w:t>
            </w:r>
            <w:r w:rsidRPr="00854284">
              <w:rPr>
                <w:rFonts w:ascii="Times New Roman" w:eastAsia="Times New Roman" w:hAnsi="Times New Roman" w:cs="Times New Roman"/>
                <w:sz w:val="24"/>
                <w:szCs w:val="24"/>
                <w:lang w:eastAsia="hu-HU"/>
              </w:rPr>
              <w:fldChar w:fldCharType="end"/>
            </w:r>
            <w:bookmarkEnd w:id="25"/>
            <w:r w:rsidRPr="00854284">
              <w:rPr>
                <w:rFonts w:ascii="Times New Roman" w:eastAsia="Times New Roman" w:hAnsi="Times New Roman" w:cs="Times New Roman"/>
                <w:sz w:val="24"/>
                <w:szCs w:val="24"/>
                <w:lang w:eastAsia="hu-HU"/>
              </w:rPr>
              <w:t xml:space="preserve"> For him, the event is not defined as a discrete act or series of actions or activities, but rather the "folding of dimensions of time into each other"</w:t>
            </w:r>
            <w:bookmarkStart w:id="26" w:name="_ftnref26"/>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"_ftn26"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[26]</w:t>
            </w:r>
            <w:r w:rsidRPr="00854284">
              <w:rPr>
                <w:rFonts w:ascii="Times New Roman" w:eastAsia="Times New Roman" w:hAnsi="Times New Roman" w:cs="Times New Roman"/>
                <w:sz w:val="24"/>
                <w:szCs w:val="24"/>
                <w:lang w:eastAsia="hu-HU"/>
              </w:rPr>
              <w:fldChar w:fldCharType="end"/>
            </w:r>
            <w:bookmarkEnd w:id="26"/>
            <w:r w:rsidRPr="00854284">
              <w:rPr>
                <w:rFonts w:ascii="Times New Roman" w:eastAsia="Times New Roman" w:hAnsi="Times New Roman" w:cs="Times New Roman"/>
                <w:sz w:val="24"/>
                <w:szCs w:val="24"/>
                <w:lang w:eastAsia="hu-HU"/>
              </w:rPr>
              <w:t>. This folding of time into and out of each other is a result of the "conversion of surface distance into intensity [which] is also the conversion of the materiality of the body into an event.”</w:t>
            </w:r>
            <w:bookmarkStart w:id="27" w:name="_ftnref27"/>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"_ftn27"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[27]</w:t>
            </w:r>
            <w:r w:rsidRPr="00854284">
              <w:rPr>
                <w:rFonts w:ascii="Times New Roman" w:eastAsia="Times New Roman" w:hAnsi="Times New Roman" w:cs="Times New Roman"/>
                <w:sz w:val="24"/>
                <w:szCs w:val="24"/>
                <w:lang w:eastAsia="hu-HU"/>
              </w:rPr>
              <w:fldChar w:fldCharType="end"/>
            </w:r>
            <w:bookmarkEnd w:id="27"/>
            <w:r w:rsidRPr="00854284">
              <w:rPr>
                <w:rFonts w:ascii="Times New Roman" w:eastAsia="Times New Roman" w:hAnsi="Times New Roman" w:cs="Times New Roman"/>
                <w:sz w:val="24"/>
                <w:szCs w:val="24"/>
                <w:lang w:eastAsia="hu-HU"/>
              </w:rPr>
              <w:t>. Interested in a purported increase in domestic violence during Superbowl Sunday, Massumi writes:</w:t>
            </w:r>
          </w:p>
          <w:p w:rsidR="00854284" w:rsidRPr="00854284" w:rsidRDefault="00854284" w:rsidP="00854284">
            <w:pPr>
              <w:spacing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t xml:space="preserve">"The home entry of the game, at its crest of intensity, upsets the fragile equilibrium of the household. The patterns of relations </w:t>
            </w:r>
            <w:r w:rsidRPr="00854284">
              <w:rPr>
                <w:rFonts w:ascii="Times New Roman" w:eastAsia="Times New Roman" w:hAnsi="Times New Roman" w:cs="Times New Roman"/>
                <w:sz w:val="24"/>
                <w:szCs w:val="24"/>
                <w:lang w:eastAsia="hu-HU"/>
              </w:rPr>
              <w:lastRenderedPageBreak/>
              <w:t>between househeld bodies is reproblematized. The game event momentarily interrupts the pattern of extrinsic relations generally obtaining between domestic types, as typed by gender. A struggle ensues: a gender struggle over clashing codes of sociality, rights to access to portions of the home and its contents, and rituals of servitude. The sociohistorical home place converts into an event space. The television suddenly stands out from the background of the furnishings, imposing itself as a catalytic part-subject, arraying domestic bodies around itself according to the differential potentials generally attaching to their gender type. For a moment, everything is up in the air--and around the TV set, and between the living room and the kitchen. In proximity to the TV, words and gestures take on unaccustomed intensity. Anything could happen. The male body, sensing the potential, transduces the heterogeniety of the elements of the situation into a reflex readiness to violence. The "game" is rigged by the male's already-constituted propensity to strike. The typical pattern of relations is re-imposed in the unity of movement of hand against face. The strike expresses the empirical reality of situation: recontainment by the male-dominated power formation of the domestic. The event short-circuits. The event is recapture. The home event-space is back to the place it was: a container of asymmetric relations between terms already constituted according to gender. Folding back onto domestication. Coded belong, no becoming."</w:t>
            </w:r>
            <w:bookmarkStart w:id="28" w:name="_ftnref28"/>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"_ftn28"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[28]</w:t>
            </w:r>
            <w:r w:rsidRPr="00854284">
              <w:rPr>
                <w:rFonts w:ascii="Times New Roman" w:eastAsia="Times New Roman" w:hAnsi="Times New Roman" w:cs="Times New Roman"/>
                <w:sz w:val="24"/>
                <w:szCs w:val="24"/>
                <w:lang w:eastAsia="hu-HU"/>
              </w:rPr>
              <w:fldChar w:fldCharType="end"/>
            </w:r>
            <w:bookmarkEnd w:id="28"/>
          </w:p>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t xml:space="preserve">So what do we have here? First, an intensification of the body’s relation to itself (one definition of affect), produced not only by the significance of the game, Superbowl Sunday, but by the bodily force and energy given over to this significance (notice difference between signification and significance). Second, a focus on the patterns of relations—not the entities themselves, but the patterns within which they are arranged with each other. Not Assemblage, but Agencement. Third, household bodies: the television as an actor, an actant (Bruno Latour), as matter with force as determining who moves where and how and when. The television is an affective conductor: “in proximity to the TV, words and gestures take on an unaccustomed intensity.” Fourth, “Anything could happen.” A becoming. A deterritorialization. Fifth, intersectional identity: the male is always already ideologically coded as more prone to violence—a closing off of becoming. Finally, the strike: the hand against face. Reterritorialization. </w:t>
            </w:r>
          </w:p>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t>Massumi writes: "The point of bringing up this issue is not to enter the debate on whether there is an empirically provable causal link between professional sports and violence against women. The outpouring of verbal aggression provoked by the mere suggestion that there was a link is enough to establish the theoretical point in question here: that what the mass media transmit is not fundamentally image-content but event-potential."</w:t>
            </w:r>
            <w:bookmarkStart w:id="29" w:name="_ftnref29"/>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"_ftn29"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[29]</w:t>
            </w:r>
            <w:r w:rsidRPr="00854284">
              <w:rPr>
                <w:rFonts w:ascii="Times New Roman" w:eastAsia="Times New Roman" w:hAnsi="Times New Roman" w:cs="Times New Roman"/>
                <w:sz w:val="24"/>
                <w:szCs w:val="24"/>
                <w:lang w:eastAsia="hu-HU"/>
              </w:rPr>
              <w:fldChar w:fldCharType="end"/>
            </w:r>
            <w:bookmarkEnd w:id="29"/>
            <w:r w:rsidRPr="00854284">
              <w:rPr>
                <w:rFonts w:ascii="Times New Roman" w:eastAsia="Times New Roman" w:hAnsi="Times New Roman" w:cs="Times New Roman"/>
                <w:sz w:val="24"/>
                <w:szCs w:val="24"/>
                <w:lang w:eastAsia="hu-HU"/>
              </w:rPr>
              <w:t xml:space="preserve"> Thus this reading of Massumi’s is not a textual analysis of the possibility that watching violent television produces violence, or violent subjects. It is not a theory of spectatorship identification, but of affective intensification: the </w:t>
            </w:r>
            <w:r w:rsidRPr="00854284">
              <w:rPr>
                <w:rFonts w:ascii="Times New Roman" w:eastAsia="Times New Roman" w:hAnsi="Times New Roman" w:cs="Times New Roman"/>
                <w:sz w:val="24"/>
                <w:szCs w:val="24"/>
                <w:lang w:eastAsia="hu-HU"/>
              </w:rPr>
              <w:lastRenderedPageBreak/>
              <w:t xml:space="preserve">meeting of technology (good old TV, no need to always privilege the internet), bodies, matter, molecular movements, energetic transfers. Massumi insinuates that ultimately, the relationship of positionality to affect, feelings, and sensations is arbitrary. Thus, a politics of affect underscores subject positionings that are seemingly irreconcilable. Unlike Crenshaw, the focus here is not on whether there is a crime taking place, nor determining who is at fault, but rather asking what are the affective conditions necessary for the event-space to unfold. In the most basic of feminist terms, we can read Massumi's interest in unraveling the script as offering a different way of thinking about the questions what causes domestic violence and how can we prevent it? </w:t>
            </w:r>
          </w:p>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br/>
            </w:r>
            <w:r w:rsidRPr="00854284">
              <w:rPr>
                <w:rFonts w:ascii="Times New Roman" w:eastAsia="Times New Roman" w:hAnsi="Times New Roman" w:cs="Times New Roman"/>
                <w:b/>
                <w:bCs/>
                <w:sz w:val="24"/>
                <w:szCs w:val="24"/>
                <w:lang w:eastAsia="hu-HU"/>
              </w:rPr>
              <w:t>Discipline and Control</w:t>
            </w:r>
          </w:p>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t>There’s obviously much more to say about such an example; certainly it is true that these theorists (with the exception of Arun Saldahna) have not had much to say about race. In closing, and as an effort to signpost the lines of flight this essay cannot fully follow given space restrictions, my own concerns about the limitations of intersectional frameworks go far beyond rethinking its contextual specificity (and Massad gestures to this—this is not only about epistemological incongruency but more importantly, ontological irreducibility</w:t>
            </w:r>
            <w:bookmarkStart w:id="30" w:name="_ftnref30"/>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"_ftn30"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[30]</w:t>
            </w:r>
            <w:r w:rsidRPr="00854284">
              <w:rPr>
                <w:rFonts w:ascii="Times New Roman" w:eastAsia="Times New Roman" w:hAnsi="Times New Roman" w:cs="Times New Roman"/>
                <w:sz w:val="24"/>
                <w:szCs w:val="24"/>
                <w:lang w:eastAsia="hu-HU"/>
              </w:rPr>
              <w:fldChar w:fldCharType="end"/>
            </w:r>
            <w:bookmarkEnd w:id="30"/>
            <w:r w:rsidRPr="00854284">
              <w:rPr>
                <w:rFonts w:ascii="Times New Roman" w:eastAsia="Times New Roman" w:hAnsi="Times New Roman" w:cs="Times New Roman"/>
                <w:sz w:val="24"/>
                <w:szCs w:val="24"/>
                <w:lang w:eastAsia="hu-HU"/>
              </w:rPr>
              <w:t xml:space="preserve">). As I have argued in </w:t>
            </w:r>
            <w:r w:rsidRPr="00854284">
              <w:rPr>
                <w:rFonts w:ascii="Times New Roman" w:eastAsia="Times New Roman" w:hAnsi="Times New Roman" w:cs="Times New Roman"/>
                <w:i/>
                <w:iCs/>
                <w:sz w:val="24"/>
                <w:szCs w:val="24"/>
                <w:lang w:eastAsia="hu-HU"/>
              </w:rPr>
              <w:t>Terrorist Assemblages</w:t>
            </w:r>
            <w:r w:rsidRPr="00854284">
              <w:rPr>
                <w:rFonts w:ascii="Times New Roman" w:eastAsia="Times New Roman" w:hAnsi="Times New Roman" w:cs="Times New Roman"/>
                <w:sz w:val="24"/>
                <w:szCs w:val="24"/>
                <w:lang w:eastAsia="hu-HU"/>
              </w:rPr>
              <w:t>: “No matter how intersectional our models of subjectivity, no matter how attuned to locational politics of space, place, and scale, these formulations—these fine tunings of intersectionality, as it were, that continue to be demanded—may still limit us if they presume the automatic primacy and singularity of the disciplinary subject and its identitarian interpellation.”</w:t>
            </w:r>
            <w:bookmarkStart w:id="31" w:name="_ftnref31"/>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"_ftn31"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[31]</w:t>
            </w:r>
            <w:r w:rsidRPr="00854284">
              <w:rPr>
                <w:rFonts w:ascii="Times New Roman" w:eastAsia="Times New Roman" w:hAnsi="Times New Roman" w:cs="Times New Roman"/>
                <w:sz w:val="24"/>
                <w:szCs w:val="24"/>
                <w:lang w:eastAsia="hu-HU"/>
              </w:rPr>
              <w:fldChar w:fldCharType="end"/>
            </w:r>
            <w:bookmarkEnd w:id="31"/>
            <w:r w:rsidRPr="00854284">
              <w:rPr>
                <w:rFonts w:ascii="Times New Roman" w:eastAsia="Times New Roman" w:hAnsi="Times New Roman" w:cs="Times New Roman"/>
                <w:sz w:val="24"/>
                <w:szCs w:val="24"/>
                <w:lang w:eastAsia="hu-HU"/>
              </w:rPr>
              <w:t xml:space="preserve"> </w:t>
            </w:r>
            <w:proofErr w:type="gramStart"/>
            <w:r w:rsidRPr="00854284">
              <w:rPr>
                <w:rFonts w:ascii="Times New Roman" w:eastAsia="Times New Roman" w:hAnsi="Times New Roman" w:cs="Times New Roman"/>
                <w:sz w:val="24"/>
                <w:szCs w:val="24"/>
                <w:lang w:eastAsia="hu-HU"/>
              </w:rPr>
              <w:t>My interest in interrogating the predominance of subjecthood itself is driven precisely by the limitations of poststructuralist critique that Rey Chow foregrounds, the concerns about the nature/culture divide and questions of language and materiality that the science and technology feminists have outlined, the attention to power and affect that assemblage theorists centralize, and finally, my own relating of all of this to the debates on disciplinary societies and societies of control driven by the work of Michel Foucault and Deleuze’s extension of it.</w:t>
            </w:r>
            <w:proofErr w:type="gramEnd"/>
            <w:r w:rsidRPr="00854284">
              <w:rPr>
                <w:rFonts w:ascii="Times New Roman" w:eastAsia="Times New Roman" w:hAnsi="Times New Roman" w:cs="Times New Roman"/>
                <w:sz w:val="24"/>
                <w:szCs w:val="24"/>
                <w:lang w:eastAsia="hu-HU"/>
              </w:rPr>
              <w:t xml:space="preserve"> In the 2007 English translation of Michel Foucault’s 1977-1978 lectures titled </w:t>
            </w:r>
            <w:r w:rsidRPr="00854284">
              <w:rPr>
                <w:rFonts w:ascii="Times New Roman" w:eastAsia="Times New Roman" w:hAnsi="Times New Roman" w:cs="Times New Roman"/>
                <w:i/>
                <w:iCs/>
                <w:sz w:val="24"/>
                <w:szCs w:val="24"/>
                <w:lang w:eastAsia="hu-HU"/>
              </w:rPr>
              <w:t>Security, Territory, and Population</w:t>
            </w:r>
            <w:r w:rsidRPr="00854284">
              <w:rPr>
                <w:rFonts w:ascii="Times New Roman" w:eastAsia="Times New Roman" w:hAnsi="Times New Roman" w:cs="Times New Roman"/>
                <w:sz w:val="24"/>
                <w:szCs w:val="24"/>
                <w:lang w:eastAsia="hu-HU"/>
              </w:rPr>
              <w:t xml:space="preserve">, Foucault distinguishes between disciplinary mechanisms, and security apparatuses, what Deleuze would later come to call “control societies. On the disciplinary organization of multiplicity, Foucault writes: </w:t>
            </w:r>
          </w:p>
          <w:p w:rsidR="00854284" w:rsidRPr="00854284" w:rsidRDefault="00854284" w:rsidP="00854284">
            <w:pPr>
              <w:spacing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t>“Discipline is a mode of individualization of multiplicities rather than something that constructs an edifice of multiple elements on the basis of individuals who are worked on as, first of all, individuals.”</w:t>
            </w:r>
            <w:bookmarkStart w:id="32" w:name="_ftnref32"/>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"_ftn32"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[32]</w:t>
            </w:r>
            <w:r w:rsidRPr="00854284">
              <w:rPr>
                <w:rFonts w:ascii="Times New Roman" w:eastAsia="Times New Roman" w:hAnsi="Times New Roman" w:cs="Times New Roman"/>
                <w:sz w:val="24"/>
                <w:szCs w:val="24"/>
                <w:lang w:eastAsia="hu-HU"/>
              </w:rPr>
              <w:fldChar w:fldCharType="end"/>
            </w:r>
            <w:bookmarkEnd w:id="32"/>
          </w:p>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t xml:space="preserve">Many relations between discipline (exclusion and inclusion) and control (modulation, tweaking) have been proffered as </w:t>
            </w:r>
            <w:proofErr w:type="gramStart"/>
            <w:r w:rsidRPr="00854284">
              <w:rPr>
                <w:rFonts w:ascii="Times New Roman" w:eastAsia="Times New Roman" w:hAnsi="Times New Roman" w:cs="Times New Roman"/>
                <w:sz w:val="24"/>
                <w:szCs w:val="24"/>
                <w:lang w:eastAsia="hu-HU"/>
              </w:rPr>
              <w:t>a</w:t>
            </w:r>
            <w:proofErr w:type="gramEnd"/>
            <w:r w:rsidRPr="00854284">
              <w:rPr>
                <w:rFonts w:ascii="Times New Roman" w:eastAsia="Times New Roman" w:hAnsi="Times New Roman" w:cs="Times New Roman"/>
                <w:sz w:val="24"/>
                <w:szCs w:val="24"/>
                <w:lang w:eastAsia="hu-HU"/>
              </w:rPr>
              <w:t xml:space="preserve"> of late. One, </w:t>
            </w:r>
            <w:r w:rsidRPr="00854284">
              <w:rPr>
                <w:rFonts w:ascii="Times New Roman" w:eastAsia="Times New Roman" w:hAnsi="Times New Roman" w:cs="Times New Roman"/>
                <w:sz w:val="24"/>
                <w:szCs w:val="24"/>
                <w:lang w:eastAsia="hu-HU"/>
              </w:rPr>
              <w:lastRenderedPageBreak/>
              <w:t xml:space="preserve">as various overlapping yet progressive stages of market capitalism and governmentality; two, as co-existing models and exercises of power; three, control as an effect of disciplinary apparatuses--control as the epitome of a disciplinary society par excellence (in that disciplinary forms of power exceed their sites to reproduce everywhere); and finally, as Foucault suggests above, disciplinary frames as a response to control. It seems to me, and I pose these as tentative questions and points that I am working through, that intersectional critique has both intervened in the legal and capitalist structures that demand the fixity of the rights bearing subject and also reproduced the disciplinary demands of that subject formation. As Norma Alarcon presciently asked in 1984, in her response to the publication of </w:t>
            </w:r>
            <w:r w:rsidRPr="00854284">
              <w:rPr>
                <w:rFonts w:ascii="Times New Roman" w:eastAsia="Times New Roman" w:hAnsi="Times New Roman" w:cs="Times New Roman"/>
                <w:i/>
                <w:iCs/>
                <w:sz w:val="24"/>
                <w:szCs w:val="24"/>
                <w:lang w:eastAsia="hu-HU"/>
              </w:rPr>
              <w:t>This Bridge Called My Back</w:t>
            </w:r>
            <w:bookmarkStart w:id="33" w:name="_ftnref33"/>
            <w:r w:rsidRPr="00854284">
              <w:rPr>
                <w:rFonts w:ascii="Times New Roman" w:eastAsia="Times New Roman" w:hAnsi="Times New Roman" w:cs="Times New Roman"/>
                <w:i/>
                <w:iCs/>
                <w:sz w:val="24"/>
                <w:szCs w:val="24"/>
                <w:lang w:eastAsia="hu-HU"/>
              </w:rPr>
              <w:fldChar w:fldCharType="begin"/>
            </w:r>
            <w:r w:rsidRPr="00854284">
              <w:rPr>
                <w:rFonts w:ascii="Times New Roman" w:eastAsia="Times New Roman" w:hAnsi="Times New Roman" w:cs="Times New Roman"/>
                <w:i/>
                <w:iCs/>
                <w:sz w:val="24"/>
                <w:szCs w:val="24"/>
                <w:lang w:eastAsia="hu-HU"/>
              </w:rPr>
              <w:instrText xml:space="preserve"> HYPERLINK "http://eipcp.net/transversal/0811/puar/en/" \l "_ftn33" </w:instrText>
            </w:r>
            <w:r w:rsidRPr="00854284">
              <w:rPr>
                <w:rFonts w:ascii="Times New Roman" w:eastAsia="Times New Roman" w:hAnsi="Times New Roman" w:cs="Times New Roman"/>
                <w:i/>
                <w:iCs/>
                <w:sz w:val="24"/>
                <w:szCs w:val="24"/>
                <w:lang w:eastAsia="hu-HU"/>
              </w:rPr>
              <w:fldChar w:fldCharType="separate"/>
            </w:r>
            <w:r w:rsidRPr="00854284">
              <w:rPr>
                <w:rFonts w:ascii="Times New Roman" w:eastAsia="Times New Roman" w:hAnsi="Times New Roman" w:cs="Times New Roman"/>
                <w:i/>
                <w:iCs/>
                <w:color w:val="0000FF"/>
                <w:sz w:val="24"/>
                <w:szCs w:val="24"/>
                <w:u w:val="single"/>
                <w:lang w:eastAsia="hu-HU"/>
              </w:rPr>
              <w:t>[33]</w:t>
            </w:r>
            <w:r w:rsidRPr="00854284">
              <w:rPr>
                <w:rFonts w:ascii="Times New Roman" w:eastAsia="Times New Roman" w:hAnsi="Times New Roman" w:cs="Times New Roman"/>
                <w:i/>
                <w:iCs/>
                <w:sz w:val="24"/>
                <w:szCs w:val="24"/>
                <w:lang w:eastAsia="hu-HU"/>
              </w:rPr>
              <w:fldChar w:fldCharType="end"/>
            </w:r>
            <w:bookmarkEnd w:id="33"/>
            <w:r w:rsidRPr="00854284">
              <w:rPr>
                <w:rFonts w:ascii="Times New Roman" w:eastAsia="Times New Roman" w:hAnsi="Times New Roman" w:cs="Times New Roman"/>
                <w:sz w:val="24"/>
                <w:szCs w:val="24"/>
                <w:lang w:eastAsia="hu-HU"/>
              </w:rPr>
              <w:t xml:space="preserve">, are we going to make a subject of the whole world? </w:t>
            </w:r>
            <w:bookmarkStart w:id="34" w:name="_ftnref34"/>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"_ftn34"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[34]</w:t>
            </w:r>
            <w:r w:rsidRPr="00854284">
              <w:rPr>
                <w:rFonts w:ascii="Times New Roman" w:eastAsia="Times New Roman" w:hAnsi="Times New Roman" w:cs="Times New Roman"/>
                <w:sz w:val="24"/>
                <w:szCs w:val="24"/>
                <w:lang w:eastAsia="hu-HU"/>
              </w:rPr>
              <w:fldChar w:fldCharType="end"/>
            </w:r>
            <w:bookmarkEnd w:id="34"/>
            <w:r w:rsidRPr="00854284">
              <w:rPr>
                <w:rFonts w:ascii="Times New Roman" w:eastAsia="Times New Roman" w:hAnsi="Times New Roman" w:cs="Times New Roman"/>
                <w:sz w:val="24"/>
                <w:szCs w:val="24"/>
                <w:lang w:eastAsia="hu-HU"/>
              </w:rPr>
              <w:t xml:space="preserve"> At this productive impasse, then, is this contradiction—on the one hand, the heuristic of intersectionality has produced a proliferation of work on WOC while simultaneously excusing white feminists from this work, re-centering gender and sexual difference as foundational and primary. On the other hand, “we” might be reaching a poststructuralist fatigue around the notion of the subject itself. </w:t>
            </w:r>
          </w:p>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854284">
              <w:rPr>
                <w:rFonts w:ascii="Times New Roman" w:eastAsia="Times New Roman" w:hAnsi="Times New Roman" w:cs="Times New Roman"/>
                <w:sz w:val="24"/>
                <w:szCs w:val="24"/>
                <w:lang w:eastAsia="hu-HU"/>
              </w:rPr>
              <w:t>Therefore, to dismiss assemblage in favor of retaining intersectional identitarian frameworks is to miss the ways in which societies of control apprehend and produce bodies as information, as matter that functions not or predominantly through signification, as modulation of capacities, as dividuals in populations with any array of diverse switchpoints (rather than Althusserian interpellation per se), and surveilles bodies not on identity positions alone but through affective tendencies and statistical probabilities.</w:t>
            </w:r>
            <w:proofErr w:type="gramEnd"/>
            <w:r w:rsidRPr="00854284">
              <w:rPr>
                <w:rFonts w:ascii="Times New Roman" w:eastAsia="Times New Roman" w:hAnsi="Times New Roman" w:cs="Times New Roman"/>
                <w:sz w:val="24"/>
                <w:szCs w:val="24"/>
                <w:lang w:eastAsia="hu-HU"/>
              </w:rPr>
              <w:t xml:space="preserve"> But to render intersectionality as an archaic relic of identity politics then partakes in the fantasy of never-ending inclusion of capacity-endowed bodies, bypassing entirely the possibility that for some bodies—we can call them statistical outliers, or those consigned to premature death, or those once formerly considered useless bodies or bodies of excess—discipline and punish may well still be the a primary mode of power apparatus. There are different conceptual problems posed by each; intersectionality attempts to comprehend political institutions and their attendant forms of social normativity and disciplinary administration, while assemblages, in an effort to re-introduce politics into the political, asks what is prior to and beyond what gets established. So it seems to me that one of the big payoffs for thinking through the intertwined relations of intersectionality and assemblages is that it can help us produce more roadmaps of precisely these not quite fully understood relations between discipline and control. </w:t>
            </w:r>
          </w:p>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t xml:space="preserve">To return to the title of my talk, and the juxtaposition that Haraway (unfortunately, but presciently) renders, would I really rather be a cyborg than a goddess? The former hails the future in a telelogical technological determinism--culture-- that seems not only overdetermined but exceptionalizes our current technologies. The </w:t>
            </w:r>
            <w:r w:rsidRPr="00854284">
              <w:rPr>
                <w:rFonts w:ascii="Times New Roman" w:eastAsia="Times New Roman" w:hAnsi="Times New Roman" w:cs="Times New Roman"/>
                <w:sz w:val="24"/>
                <w:szCs w:val="24"/>
                <w:lang w:eastAsia="hu-HU"/>
              </w:rPr>
              <w:lastRenderedPageBreak/>
              <w:t>latter--nature—is embedded in the racialized matriarchal mythos of feminist reclamation narratives. Certainly it sounds sexier, these days, to lay claim to being a cyborg than a goddess. But why disaggregate the two when there surely must be cyborgian-goddesses in our midst? Now that is an becoming-intersectional assemblage that I could really appreciate. </w:t>
            </w:r>
          </w:p>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t> </w:t>
            </w:r>
          </w:p>
          <w:p w:rsidR="00854284" w:rsidRPr="00854284" w:rsidRDefault="00854284" w:rsidP="00854284">
            <w:pPr>
              <w:spacing w:after="0"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br w:type="textWrapping" w:clear="all"/>
            </w:r>
          </w:p>
          <w:p w:rsidR="00854284" w:rsidRPr="00854284" w:rsidRDefault="00854284" w:rsidP="00854284">
            <w:pPr>
              <w:spacing w:after="0"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pict>
                <v:rect id="_x0000_i1027" style="width:149.7pt;height:.75pt" o:hrpct="330" o:hrstd="t" o:hr="t" fillcolor="#a0a0a0" stroked="f"/>
              </w:pict>
            </w:r>
          </w:p>
          <w:bookmarkStart w:id="35" w:name="_ftn1"/>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"_ftnref1"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[1]</w:t>
            </w:r>
            <w:r w:rsidRPr="00854284">
              <w:rPr>
                <w:rFonts w:ascii="Times New Roman" w:eastAsia="Times New Roman" w:hAnsi="Times New Roman" w:cs="Times New Roman"/>
                <w:sz w:val="24"/>
                <w:szCs w:val="24"/>
                <w:lang w:eastAsia="hu-HU"/>
              </w:rPr>
              <w:fldChar w:fldCharType="end"/>
            </w:r>
            <w:bookmarkEnd w:id="35"/>
            <w:r w:rsidRPr="00854284">
              <w:rPr>
                <w:rFonts w:ascii="Times New Roman" w:eastAsia="Times New Roman" w:hAnsi="Times New Roman" w:cs="Times New Roman"/>
                <w:sz w:val="24"/>
                <w:szCs w:val="24"/>
                <w:lang w:eastAsia="hu-HU"/>
              </w:rPr>
              <w:t xml:space="preserve"> Puar, Jasbir K</w:t>
            </w:r>
            <w:proofErr w:type="gramStart"/>
            <w:r w:rsidRPr="00854284">
              <w:rPr>
                <w:rFonts w:ascii="Times New Roman" w:eastAsia="Times New Roman" w:hAnsi="Times New Roman" w:cs="Times New Roman"/>
                <w:sz w:val="24"/>
                <w:szCs w:val="24"/>
                <w:lang w:eastAsia="hu-HU"/>
              </w:rPr>
              <w:t>.:</w:t>
            </w:r>
            <w:proofErr w:type="gramEnd"/>
            <w:r w:rsidRPr="00854284">
              <w:rPr>
                <w:rFonts w:ascii="Times New Roman" w:eastAsia="Times New Roman" w:hAnsi="Times New Roman" w:cs="Times New Roman"/>
                <w:sz w:val="24"/>
                <w:szCs w:val="24"/>
                <w:lang w:eastAsia="hu-HU"/>
              </w:rPr>
              <w:t xml:space="preserve"> </w:t>
            </w:r>
            <w:r w:rsidRPr="00854284">
              <w:rPr>
                <w:rFonts w:ascii="Times New Roman" w:eastAsia="Times New Roman" w:hAnsi="Times New Roman" w:cs="Times New Roman"/>
                <w:i/>
                <w:iCs/>
                <w:sz w:val="24"/>
                <w:szCs w:val="24"/>
                <w:lang w:eastAsia="hu-HU"/>
              </w:rPr>
              <w:t>Terrorist Assemblages: Homonationalism in Queer Times</w:t>
            </w:r>
            <w:r w:rsidRPr="00854284">
              <w:rPr>
                <w:rFonts w:ascii="Times New Roman" w:eastAsia="Times New Roman" w:hAnsi="Times New Roman" w:cs="Times New Roman"/>
                <w:sz w:val="24"/>
                <w:szCs w:val="24"/>
                <w:lang w:eastAsia="hu-HU"/>
              </w:rPr>
              <w:t>, Durham 2007.</w:t>
            </w:r>
          </w:p>
          <w:bookmarkStart w:id="36" w:name="_ftn2"/>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"_ftnref2"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[2]</w:t>
            </w:r>
            <w:r w:rsidRPr="00854284">
              <w:rPr>
                <w:rFonts w:ascii="Times New Roman" w:eastAsia="Times New Roman" w:hAnsi="Times New Roman" w:cs="Times New Roman"/>
                <w:sz w:val="24"/>
                <w:szCs w:val="24"/>
                <w:lang w:eastAsia="hu-HU"/>
              </w:rPr>
              <w:fldChar w:fldCharType="end"/>
            </w:r>
            <w:bookmarkEnd w:id="36"/>
            <w:r w:rsidRPr="00854284">
              <w:rPr>
                <w:rFonts w:ascii="Times New Roman" w:eastAsia="Times New Roman" w:hAnsi="Times New Roman" w:cs="Times New Roman"/>
                <w:sz w:val="24"/>
                <w:szCs w:val="24"/>
                <w:lang w:eastAsia="hu-HU"/>
              </w:rPr>
              <w:t xml:space="preserve"> Crenshaw, Kimberle: "Demarginalizing the Intersection of Race and Sex: A Black Feminist Critique of Antidiscrimination Doctrine, Feminist Theory and Antiracist Politics“, in: </w:t>
            </w:r>
            <w:r w:rsidRPr="00854284">
              <w:rPr>
                <w:rFonts w:ascii="Times New Roman" w:eastAsia="Times New Roman" w:hAnsi="Times New Roman" w:cs="Times New Roman"/>
                <w:i/>
                <w:iCs/>
                <w:sz w:val="24"/>
                <w:szCs w:val="24"/>
                <w:lang w:eastAsia="hu-HU"/>
              </w:rPr>
              <w:t>The University of Chicago Legal Forum Volume: Feminism in the Law: Theory, Practice and Criticism</w:t>
            </w:r>
            <w:r w:rsidRPr="00854284">
              <w:rPr>
                <w:rFonts w:ascii="Times New Roman" w:eastAsia="Times New Roman" w:hAnsi="Times New Roman" w:cs="Times New Roman"/>
                <w:sz w:val="24"/>
                <w:szCs w:val="24"/>
                <w:lang w:eastAsia="hu-HU"/>
              </w:rPr>
              <w:t>, 1989, pp. 139–167.</w:t>
            </w:r>
          </w:p>
          <w:bookmarkStart w:id="37" w:name="_ftn3"/>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"_ftnref3"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[3]</w:t>
            </w:r>
            <w:r w:rsidRPr="00854284">
              <w:rPr>
                <w:rFonts w:ascii="Times New Roman" w:eastAsia="Times New Roman" w:hAnsi="Times New Roman" w:cs="Times New Roman"/>
                <w:sz w:val="24"/>
                <w:szCs w:val="24"/>
                <w:lang w:eastAsia="hu-HU"/>
              </w:rPr>
              <w:fldChar w:fldCharType="end"/>
            </w:r>
            <w:bookmarkEnd w:id="37"/>
            <w:r w:rsidRPr="00854284">
              <w:rPr>
                <w:rFonts w:ascii="Times New Roman" w:eastAsia="Times New Roman" w:hAnsi="Times New Roman" w:cs="Times New Roman"/>
                <w:sz w:val="24"/>
                <w:szCs w:val="24"/>
                <w:lang w:eastAsia="hu-HU"/>
              </w:rPr>
              <w:t xml:space="preserve"> Crenshaw, Kimberle: "Mapping the Margins: Intersectionality, Identity Politics, and Violence against Women of Color“, in: </w:t>
            </w:r>
            <w:r w:rsidRPr="00854284">
              <w:rPr>
                <w:rFonts w:ascii="Times New Roman" w:eastAsia="Times New Roman" w:hAnsi="Times New Roman" w:cs="Times New Roman"/>
                <w:i/>
                <w:iCs/>
                <w:sz w:val="24"/>
                <w:szCs w:val="24"/>
                <w:lang w:eastAsia="hu-HU"/>
              </w:rPr>
              <w:t>Stanford Law Review</w:t>
            </w:r>
            <w:r w:rsidRPr="00854284">
              <w:rPr>
                <w:rFonts w:ascii="Times New Roman" w:eastAsia="Times New Roman" w:hAnsi="Times New Roman" w:cs="Times New Roman"/>
                <w:sz w:val="24"/>
                <w:szCs w:val="24"/>
                <w:lang w:eastAsia="hu-HU"/>
              </w:rPr>
              <w:t>, 1991, No. 6, pp. 1241–1299.</w:t>
            </w:r>
          </w:p>
          <w:bookmarkStart w:id="38" w:name="_ftn4"/>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"_ftnref4"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[4]</w:t>
            </w:r>
            <w:r w:rsidRPr="00854284">
              <w:rPr>
                <w:rFonts w:ascii="Times New Roman" w:eastAsia="Times New Roman" w:hAnsi="Times New Roman" w:cs="Times New Roman"/>
                <w:sz w:val="24"/>
                <w:szCs w:val="24"/>
                <w:lang w:eastAsia="hu-HU"/>
              </w:rPr>
              <w:fldChar w:fldCharType="end"/>
            </w:r>
            <w:bookmarkEnd w:id="38"/>
            <w:r w:rsidRPr="00854284">
              <w:rPr>
                <w:rFonts w:ascii="Times New Roman" w:eastAsia="Times New Roman" w:hAnsi="Times New Roman" w:cs="Times New Roman"/>
                <w:sz w:val="24"/>
                <w:szCs w:val="24"/>
                <w:lang w:eastAsia="hu-HU"/>
              </w:rPr>
              <w:t xml:space="preserve"> Ibid</w:t>
            </w:r>
            <w:proofErr w:type="gramStart"/>
            <w:r w:rsidRPr="00854284">
              <w:rPr>
                <w:rFonts w:ascii="Times New Roman" w:eastAsia="Times New Roman" w:hAnsi="Times New Roman" w:cs="Times New Roman"/>
                <w:sz w:val="24"/>
                <w:szCs w:val="24"/>
                <w:lang w:eastAsia="hu-HU"/>
              </w:rPr>
              <w:t>.,</w:t>
            </w:r>
            <w:proofErr w:type="gramEnd"/>
            <w:r w:rsidRPr="00854284">
              <w:rPr>
                <w:rFonts w:ascii="Times New Roman" w:eastAsia="Times New Roman" w:hAnsi="Times New Roman" w:cs="Times New Roman"/>
                <w:sz w:val="24"/>
                <w:szCs w:val="24"/>
                <w:lang w:eastAsia="hu-HU"/>
              </w:rPr>
              <w:t xml:space="preserve"> pg. 1243.</w:t>
            </w:r>
          </w:p>
          <w:bookmarkStart w:id="39" w:name="_ftn5"/>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"_ftnref5"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[5]</w:t>
            </w:r>
            <w:r w:rsidRPr="00854284">
              <w:rPr>
                <w:rFonts w:ascii="Times New Roman" w:eastAsia="Times New Roman" w:hAnsi="Times New Roman" w:cs="Times New Roman"/>
                <w:sz w:val="24"/>
                <w:szCs w:val="24"/>
                <w:lang w:eastAsia="hu-HU"/>
              </w:rPr>
              <w:fldChar w:fldCharType="end"/>
            </w:r>
            <w:bookmarkEnd w:id="39"/>
            <w:r w:rsidRPr="00854284">
              <w:rPr>
                <w:rFonts w:ascii="Times New Roman" w:eastAsia="Times New Roman" w:hAnsi="Times New Roman" w:cs="Times New Roman"/>
                <w:sz w:val="24"/>
                <w:szCs w:val="24"/>
                <w:lang w:eastAsia="hu-HU"/>
              </w:rPr>
              <w:t xml:space="preserve"> Lorde, Audre: "Age, Race, Class, and Sex: Women Redefining Difference“, in: </w:t>
            </w:r>
            <w:r w:rsidRPr="00854284">
              <w:rPr>
                <w:rFonts w:ascii="Times New Roman" w:eastAsia="Times New Roman" w:hAnsi="Times New Roman" w:cs="Times New Roman"/>
                <w:i/>
                <w:iCs/>
                <w:sz w:val="24"/>
                <w:szCs w:val="24"/>
                <w:lang w:eastAsia="hu-HU"/>
              </w:rPr>
              <w:t>Sister Outsider: Essays and Speeches</w:t>
            </w:r>
            <w:r w:rsidRPr="00854284">
              <w:rPr>
                <w:rFonts w:ascii="Times New Roman" w:eastAsia="Times New Roman" w:hAnsi="Times New Roman" w:cs="Times New Roman"/>
                <w:sz w:val="24"/>
                <w:szCs w:val="24"/>
                <w:lang w:eastAsia="hu-HU"/>
              </w:rPr>
              <w:t>, Berkeley 1984, pp. 114–123.</w:t>
            </w:r>
          </w:p>
          <w:bookmarkStart w:id="40" w:name="_ftn6"/>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"_ftnref6"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[6]</w:t>
            </w:r>
            <w:r w:rsidRPr="00854284">
              <w:rPr>
                <w:rFonts w:ascii="Times New Roman" w:eastAsia="Times New Roman" w:hAnsi="Times New Roman" w:cs="Times New Roman"/>
                <w:sz w:val="24"/>
                <w:szCs w:val="24"/>
                <w:lang w:eastAsia="hu-HU"/>
              </w:rPr>
              <w:fldChar w:fldCharType="end"/>
            </w:r>
            <w:bookmarkEnd w:id="40"/>
            <w:r w:rsidRPr="00854284">
              <w:rPr>
                <w:rFonts w:ascii="Times New Roman" w:eastAsia="Times New Roman" w:hAnsi="Times New Roman" w:cs="Times New Roman"/>
                <w:sz w:val="24"/>
                <w:szCs w:val="24"/>
                <w:lang w:eastAsia="hu-HU"/>
              </w:rPr>
              <w:t xml:space="preserve"> Cf. Schueller, Malini Johar: "Analogy and (White) Feminist Theory: Thinking Race and the Color of the Cyborg Body“, </w:t>
            </w:r>
            <w:r w:rsidRPr="00854284">
              <w:rPr>
                <w:rFonts w:ascii="Times New Roman" w:eastAsia="Times New Roman" w:hAnsi="Times New Roman" w:cs="Times New Roman"/>
                <w:i/>
                <w:iCs/>
                <w:sz w:val="24"/>
                <w:szCs w:val="24"/>
                <w:lang w:eastAsia="hu-HU"/>
              </w:rPr>
              <w:t>Signs: Journal of Women and Society</w:t>
            </w:r>
            <w:r w:rsidRPr="00854284">
              <w:rPr>
                <w:rFonts w:ascii="Times New Roman" w:eastAsia="Times New Roman" w:hAnsi="Times New Roman" w:cs="Times New Roman"/>
                <w:sz w:val="24"/>
                <w:szCs w:val="24"/>
                <w:lang w:eastAsia="hu-HU"/>
              </w:rPr>
              <w:t>, 2005, No. 1, pp. 63–92.</w:t>
            </w:r>
          </w:p>
          <w:bookmarkStart w:id="41" w:name="_ftn7"/>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"_ftnref7"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[7]</w:t>
            </w:r>
            <w:r w:rsidRPr="00854284">
              <w:rPr>
                <w:rFonts w:ascii="Times New Roman" w:eastAsia="Times New Roman" w:hAnsi="Times New Roman" w:cs="Times New Roman"/>
                <w:sz w:val="24"/>
                <w:szCs w:val="24"/>
                <w:lang w:eastAsia="hu-HU"/>
              </w:rPr>
              <w:fldChar w:fldCharType="end"/>
            </w:r>
            <w:bookmarkEnd w:id="41"/>
            <w:r w:rsidRPr="00854284">
              <w:rPr>
                <w:rFonts w:ascii="Times New Roman" w:eastAsia="Times New Roman" w:hAnsi="Times New Roman" w:cs="Times New Roman"/>
                <w:sz w:val="24"/>
                <w:szCs w:val="24"/>
                <w:lang w:eastAsia="hu-HU"/>
              </w:rPr>
              <w:t xml:space="preserve"> Brah, Avtar and Phoenix, Ann: "Ain't I a Woman: Revisiting Intersectionality“, in: </w:t>
            </w:r>
            <w:r w:rsidRPr="00854284">
              <w:rPr>
                <w:rFonts w:ascii="Times New Roman" w:eastAsia="Times New Roman" w:hAnsi="Times New Roman" w:cs="Times New Roman"/>
                <w:i/>
                <w:iCs/>
                <w:sz w:val="24"/>
                <w:szCs w:val="24"/>
                <w:lang w:eastAsia="hu-HU"/>
              </w:rPr>
              <w:t>Journal of International Women’s Studies</w:t>
            </w:r>
            <w:r w:rsidRPr="00854284">
              <w:rPr>
                <w:rFonts w:ascii="Times New Roman" w:eastAsia="Times New Roman" w:hAnsi="Times New Roman" w:cs="Times New Roman"/>
                <w:sz w:val="24"/>
                <w:szCs w:val="24"/>
                <w:lang w:eastAsia="hu-HU"/>
              </w:rPr>
              <w:t>, 2004, No. 3, pp. 75–86, here pg. 76.</w:t>
            </w:r>
          </w:p>
          <w:bookmarkStart w:id="42" w:name="_ftn8"/>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"_ftnref8"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[8]</w:t>
            </w:r>
            <w:r w:rsidRPr="00854284">
              <w:rPr>
                <w:rFonts w:ascii="Times New Roman" w:eastAsia="Times New Roman" w:hAnsi="Times New Roman" w:cs="Times New Roman"/>
                <w:sz w:val="24"/>
                <w:szCs w:val="24"/>
                <w:lang w:eastAsia="hu-HU"/>
              </w:rPr>
              <w:fldChar w:fldCharType="end"/>
            </w:r>
            <w:bookmarkEnd w:id="42"/>
            <w:r w:rsidRPr="00854284">
              <w:rPr>
                <w:rFonts w:ascii="Times New Roman" w:eastAsia="Times New Roman" w:hAnsi="Times New Roman" w:cs="Times New Roman"/>
                <w:sz w:val="24"/>
                <w:szCs w:val="24"/>
                <w:lang w:eastAsia="hu-HU"/>
              </w:rPr>
              <w:t xml:space="preserve"> Yuval-Davis, Nira, “Intersectionality and Feminist Politics,” </w:t>
            </w:r>
            <w:r w:rsidRPr="00854284">
              <w:rPr>
                <w:rFonts w:ascii="Times New Roman" w:eastAsia="Times New Roman" w:hAnsi="Times New Roman" w:cs="Times New Roman"/>
                <w:i/>
                <w:iCs/>
                <w:sz w:val="24"/>
                <w:szCs w:val="24"/>
                <w:lang w:eastAsia="hu-HU"/>
              </w:rPr>
              <w:t>European Journal of Women’s Studies</w:t>
            </w:r>
            <w:r w:rsidRPr="00854284">
              <w:rPr>
                <w:rFonts w:ascii="Times New Roman" w:eastAsia="Times New Roman" w:hAnsi="Times New Roman" w:cs="Times New Roman"/>
                <w:sz w:val="24"/>
                <w:szCs w:val="24"/>
                <w:lang w:eastAsia="hu-HU"/>
              </w:rPr>
              <w:t xml:space="preserve"> </w:t>
            </w:r>
            <w:proofErr w:type="gramStart"/>
            <w:r w:rsidRPr="00854284">
              <w:rPr>
                <w:rFonts w:ascii="Times New Roman" w:eastAsia="Times New Roman" w:hAnsi="Times New Roman" w:cs="Times New Roman"/>
                <w:sz w:val="24"/>
                <w:szCs w:val="24"/>
                <w:lang w:eastAsia="hu-HU"/>
              </w:rPr>
              <w:t>13(</w:t>
            </w:r>
            <w:proofErr w:type="gramEnd"/>
            <w:r w:rsidRPr="00854284">
              <w:rPr>
                <w:rFonts w:ascii="Times New Roman" w:eastAsia="Times New Roman" w:hAnsi="Times New Roman" w:cs="Times New Roman"/>
                <w:sz w:val="24"/>
                <w:szCs w:val="24"/>
                <w:lang w:eastAsia="hu-HU"/>
              </w:rPr>
              <w:t>3), pg. 206</w:t>
            </w:r>
          </w:p>
          <w:bookmarkStart w:id="43" w:name="_ftn9"/>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"_ftnref9"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[9]</w:t>
            </w:r>
            <w:r w:rsidRPr="00854284">
              <w:rPr>
                <w:rFonts w:ascii="Times New Roman" w:eastAsia="Times New Roman" w:hAnsi="Times New Roman" w:cs="Times New Roman"/>
                <w:sz w:val="24"/>
                <w:szCs w:val="24"/>
                <w:lang w:eastAsia="hu-HU"/>
              </w:rPr>
              <w:fldChar w:fldCharType="end"/>
            </w:r>
            <w:bookmarkEnd w:id="43"/>
            <w:r w:rsidRPr="00854284">
              <w:rPr>
                <w:rFonts w:ascii="Times New Roman" w:eastAsia="Times New Roman" w:hAnsi="Times New Roman" w:cs="Times New Roman"/>
                <w:sz w:val="24"/>
                <w:szCs w:val="24"/>
                <w:lang w:eastAsia="hu-HU"/>
              </w:rPr>
              <w:t xml:space="preserve"> Cf. Kaplan, Caren and Grewal, Inderpal: </w:t>
            </w:r>
            <w:r w:rsidRPr="00854284">
              <w:rPr>
                <w:rFonts w:ascii="Times New Roman" w:eastAsia="Times New Roman" w:hAnsi="Times New Roman" w:cs="Times New Roman"/>
                <w:i/>
                <w:iCs/>
                <w:sz w:val="24"/>
                <w:szCs w:val="24"/>
                <w:lang w:eastAsia="hu-HU"/>
              </w:rPr>
              <w:t>Scattered Hegemonies: Postmodernity and Transnational Feminist Practices</w:t>
            </w:r>
            <w:r w:rsidRPr="00854284">
              <w:rPr>
                <w:rFonts w:ascii="Times New Roman" w:eastAsia="Times New Roman" w:hAnsi="Times New Roman" w:cs="Times New Roman"/>
                <w:sz w:val="24"/>
                <w:szCs w:val="24"/>
                <w:lang w:eastAsia="hu-HU"/>
              </w:rPr>
              <w:t>, Minneapolis 1994.</w:t>
            </w:r>
          </w:p>
          <w:bookmarkStart w:id="44" w:name="_ftn10"/>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"_ftnref10"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[10]</w:t>
            </w:r>
            <w:r w:rsidRPr="00854284">
              <w:rPr>
                <w:rFonts w:ascii="Times New Roman" w:eastAsia="Times New Roman" w:hAnsi="Times New Roman" w:cs="Times New Roman"/>
                <w:sz w:val="24"/>
                <w:szCs w:val="24"/>
                <w:lang w:eastAsia="hu-HU"/>
              </w:rPr>
              <w:fldChar w:fldCharType="end"/>
            </w:r>
            <w:bookmarkEnd w:id="44"/>
            <w:r w:rsidRPr="00854284">
              <w:rPr>
                <w:rFonts w:ascii="Times New Roman" w:eastAsia="Times New Roman" w:hAnsi="Times New Roman" w:cs="Times New Roman"/>
                <w:sz w:val="24"/>
                <w:szCs w:val="24"/>
                <w:lang w:eastAsia="hu-HU"/>
              </w:rPr>
              <w:t xml:space="preserve"> Chow, Rey: </w:t>
            </w:r>
            <w:r w:rsidRPr="00854284">
              <w:rPr>
                <w:rFonts w:ascii="Times New Roman" w:eastAsia="Times New Roman" w:hAnsi="Times New Roman" w:cs="Times New Roman"/>
                <w:i/>
                <w:iCs/>
                <w:sz w:val="24"/>
                <w:szCs w:val="24"/>
                <w:lang w:eastAsia="hu-HU"/>
              </w:rPr>
              <w:t>The Age of the World Target</w:t>
            </w:r>
            <w:r w:rsidRPr="00854284">
              <w:rPr>
                <w:rFonts w:ascii="Times New Roman" w:eastAsia="Times New Roman" w:hAnsi="Times New Roman" w:cs="Times New Roman"/>
                <w:sz w:val="24"/>
                <w:szCs w:val="24"/>
                <w:lang w:eastAsia="hu-HU"/>
              </w:rPr>
              <w:t>, Durham 2006, pg. 53.</w:t>
            </w:r>
          </w:p>
          <w:bookmarkStart w:id="45" w:name="_ftn11"/>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lastRenderedPageBreak/>
              <w:fldChar w:fldCharType="begin"/>
            </w:r>
            <w:r w:rsidRPr="00854284">
              <w:rPr>
                <w:rFonts w:ascii="Times New Roman" w:eastAsia="Times New Roman" w:hAnsi="Times New Roman" w:cs="Times New Roman"/>
                <w:sz w:val="24"/>
                <w:szCs w:val="24"/>
                <w:lang w:eastAsia="hu-HU"/>
              </w:rPr>
              <w:instrText xml:space="preserve"> HYPERLINK "http://eipcp.net/transversal/0811/puar/en/" \l "_ftnref11"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[11]</w:t>
            </w:r>
            <w:r w:rsidRPr="00854284">
              <w:rPr>
                <w:rFonts w:ascii="Times New Roman" w:eastAsia="Times New Roman" w:hAnsi="Times New Roman" w:cs="Times New Roman"/>
                <w:sz w:val="24"/>
                <w:szCs w:val="24"/>
                <w:lang w:eastAsia="hu-HU"/>
              </w:rPr>
              <w:fldChar w:fldCharType="end"/>
            </w:r>
            <w:bookmarkEnd w:id="45"/>
            <w:r w:rsidRPr="00854284">
              <w:rPr>
                <w:rFonts w:ascii="Times New Roman" w:eastAsia="Times New Roman" w:hAnsi="Times New Roman" w:cs="Times New Roman"/>
                <w:sz w:val="24"/>
                <w:szCs w:val="24"/>
                <w:lang w:eastAsia="hu-HU"/>
              </w:rPr>
              <w:t xml:space="preserve"> Cf. Brah and Phoenix: "Ain't I a Woman“, op. cit</w:t>
            </w:r>
            <w:proofErr w:type="gramStart"/>
            <w:r w:rsidRPr="00854284">
              <w:rPr>
                <w:rFonts w:ascii="Times New Roman" w:eastAsia="Times New Roman" w:hAnsi="Times New Roman" w:cs="Times New Roman"/>
                <w:sz w:val="24"/>
                <w:szCs w:val="24"/>
                <w:lang w:eastAsia="hu-HU"/>
              </w:rPr>
              <w:t>.,</w:t>
            </w:r>
            <w:proofErr w:type="gramEnd"/>
            <w:r w:rsidRPr="00854284">
              <w:rPr>
                <w:rFonts w:ascii="Times New Roman" w:eastAsia="Times New Roman" w:hAnsi="Times New Roman" w:cs="Times New Roman"/>
                <w:sz w:val="24"/>
                <w:szCs w:val="24"/>
                <w:lang w:eastAsia="hu-HU"/>
              </w:rPr>
              <w:t xml:space="preserve"> pg. 76.</w:t>
            </w:r>
          </w:p>
          <w:bookmarkStart w:id="46" w:name="_ftn12"/>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"_ftnref12"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[12]</w:t>
            </w:r>
            <w:r w:rsidRPr="00854284">
              <w:rPr>
                <w:rFonts w:ascii="Times New Roman" w:eastAsia="Times New Roman" w:hAnsi="Times New Roman" w:cs="Times New Roman"/>
                <w:sz w:val="24"/>
                <w:szCs w:val="24"/>
                <w:lang w:eastAsia="hu-HU"/>
              </w:rPr>
              <w:fldChar w:fldCharType="end"/>
            </w:r>
            <w:bookmarkEnd w:id="46"/>
            <w:r w:rsidRPr="00854284">
              <w:rPr>
                <w:rFonts w:ascii="Times New Roman" w:eastAsia="Times New Roman" w:hAnsi="Times New Roman" w:cs="Times New Roman"/>
                <w:sz w:val="24"/>
                <w:szCs w:val="24"/>
                <w:lang w:eastAsia="hu-HU"/>
              </w:rPr>
              <w:t xml:space="preserve"> Cf. Butler, Judith: </w:t>
            </w:r>
            <w:r w:rsidRPr="00854284">
              <w:rPr>
                <w:rFonts w:ascii="Times New Roman" w:eastAsia="Times New Roman" w:hAnsi="Times New Roman" w:cs="Times New Roman"/>
                <w:i/>
                <w:iCs/>
                <w:sz w:val="24"/>
                <w:szCs w:val="24"/>
                <w:lang w:eastAsia="hu-HU"/>
              </w:rPr>
              <w:t xml:space="preserve">Gender Trouble, </w:t>
            </w:r>
            <w:r w:rsidRPr="00854284">
              <w:rPr>
                <w:rFonts w:ascii="Times New Roman" w:eastAsia="Times New Roman" w:hAnsi="Times New Roman" w:cs="Times New Roman"/>
                <w:sz w:val="24"/>
                <w:szCs w:val="24"/>
                <w:lang w:eastAsia="hu-HU"/>
              </w:rPr>
              <w:t xml:space="preserve">New York / London 1990; Spivak, Gayatri C.:  “Can the Subaltern Speak?", in: </w:t>
            </w:r>
            <w:r w:rsidRPr="00854284">
              <w:rPr>
                <w:rFonts w:ascii="Times New Roman" w:eastAsia="Times New Roman" w:hAnsi="Times New Roman" w:cs="Times New Roman"/>
                <w:i/>
                <w:iCs/>
                <w:sz w:val="24"/>
                <w:szCs w:val="24"/>
                <w:lang w:eastAsia="hu-HU"/>
              </w:rPr>
              <w:t>Marxism and the Interpretation of Culture</w:t>
            </w:r>
            <w:r w:rsidRPr="00854284">
              <w:rPr>
                <w:rFonts w:ascii="Times New Roman" w:eastAsia="Times New Roman" w:hAnsi="Times New Roman" w:cs="Times New Roman"/>
                <w:sz w:val="24"/>
                <w:szCs w:val="24"/>
                <w:lang w:eastAsia="hu-HU"/>
              </w:rPr>
              <w:t xml:space="preserve"> (1988), pp. 271–313</w:t>
            </w:r>
          </w:p>
          <w:bookmarkStart w:id="47" w:name="_ftn13"/>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"_ftnref13"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[13]</w:t>
            </w:r>
            <w:r w:rsidRPr="00854284">
              <w:rPr>
                <w:rFonts w:ascii="Times New Roman" w:eastAsia="Times New Roman" w:hAnsi="Times New Roman" w:cs="Times New Roman"/>
                <w:sz w:val="24"/>
                <w:szCs w:val="24"/>
                <w:lang w:eastAsia="hu-HU"/>
              </w:rPr>
              <w:fldChar w:fldCharType="end"/>
            </w:r>
            <w:bookmarkEnd w:id="47"/>
            <w:r w:rsidRPr="00854284">
              <w:rPr>
                <w:rFonts w:ascii="Times New Roman" w:eastAsia="Times New Roman" w:hAnsi="Times New Roman" w:cs="Times New Roman"/>
                <w:sz w:val="24"/>
                <w:szCs w:val="24"/>
                <w:lang w:eastAsia="hu-HU"/>
              </w:rPr>
              <w:t xml:space="preserve"> Grosz, Elisabeth: </w:t>
            </w:r>
            <w:r w:rsidRPr="00854284">
              <w:rPr>
                <w:rFonts w:ascii="Times New Roman" w:eastAsia="Times New Roman" w:hAnsi="Times New Roman" w:cs="Times New Roman"/>
                <w:i/>
                <w:iCs/>
                <w:sz w:val="24"/>
                <w:szCs w:val="24"/>
                <w:lang w:eastAsia="hu-HU"/>
              </w:rPr>
              <w:t>Volatile Bodies</w:t>
            </w:r>
            <w:r w:rsidRPr="00854284">
              <w:rPr>
                <w:rFonts w:ascii="Times New Roman" w:eastAsia="Times New Roman" w:hAnsi="Times New Roman" w:cs="Times New Roman"/>
                <w:sz w:val="24"/>
                <w:szCs w:val="24"/>
                <w:lang w:eastAsia="hu-HU"/>
              </w:rPr>
              <w:t>, Bloomington 1994.</w:t>
            </w:r>
          </w:p>
          <w:bookmarkStart w:id="48" w:name="_ftn14"/>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"_ftnref14"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[14]</w:t>
            </w:r>
            <w:r w:rsidRPr="00854284">
              <w:rPr>
                <w:rFonts w:ascii="Times New Roman" w:eastAsia="Times New Roman" w:hAnsi="Times New Roman" w:cs="Times New Roman"/>
                <w:sz w:val="24"/>
                <w:szCs w:val="24"/>
                <w:lang w:eastAsia="hu-HU"/>
              </w:rPr>
              <w:fldChar w:fldCharType="end"/>
            </w:r>
            <w:bookmarkEnd w:id="48"/>
            <w:r w:rsidRPr="00854284">
              <w:rPr>
                <w:rFonts w:ascii="Times New Roman" w:eastAsia="Times New Roman" w:hAnsi="Times New Roman" w:cs="Times New Roman"/>
                <w:sz w:val="24"/>
                <w:szCs w:val="24"/>
                <w:lang w:eastAsia="hu-HU"/>
              </w:rPr>
              <w:t xml:space="preserve"> Haraway, Donna: "Manifesto for Cyborgs: Science, Technology, and Socialist Feminism in the 1980s“, in: </w:t>
            </w:r>
            <w:r w:rsidRPr="00854284">
              <w:rPr>
                <w:rFonts w:ascii="Times New Roman" w:eastAsia="Times New Roman" w:hAnsi="Times New Roman" w:cs="Times New Roman"/>
                <w:i/>
                <w:iCs/>
                <w:sz w:val="24"/>
                <w:szCs w:val="24"/>
                <w:lang w:eastAsia="hu-HU"/>
              </w:rPr>
              <w:t>Socialist Review</w:t>
            </w:r>
            <w:r w:rsidRPr="00854284">
              <w:rPr>
                <w:rFonts w:ascii="Times New Roman" w:eastAsia="Times New Roman" w:hAnsi="Times New Roman" w:cs="Times New Roman"/>
                <w:sz w:val="24"/>
                <w:szCs w:val="24"/>
                <w:lang w:eastAsia="hu-HU"/>
              </w:rPr>
              <w:t xml:space="preserve"> 80, 1985, pp. 65–108</w:t>
            </w:r>
          </w:p>
          <w:bookmarkStart w:id="49" w:name="_ftn15"/>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"_ftnref15"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[15]</w:t>
            </w:r>
            <w:r w:rsidRPr="00854284">
              <w:rPr>
                <w:rFonts w:ascii="Times New Roman" w:eastAsia="Times New Roman" w:hAnsi="Times New Roman" w:cs="Times New Roman"/>
                <w:sz w:val="24"/>
                <w:szCs w:val="24"/>
                <w:lang w:eastAsia="hu-HU"/>
              </w:rPr>
              <w:fldChar w:fldCharType="end"/>
            </w:r>
            <w:bookmarkEnd w:id="49"/>
            <w:r w:rsidRPr="00854284">
              <w:rPr>
                <w:rFonts w:ascii="Times New Roman" w:eastAsia="Times New Roman" w:hAnsi="Times New Roman" w:cs="Times New Roman"/>
                <w:sz w:val="24"/>
                <w:szCs w:val="24"/>
                <w:lang w:eastAsia="hu-HU"/>
              </w:rPr>
              <w:t xml:space="preserve"> Cf. Sandoval, Chela: </w:t>
            </w:r>
            <w:r w:rsidRPr="00854284">
              <w:rPr>
                <w:rFonts w:ascii="Times New Roman" w:eastAsia="Times New Roman" w:hAnsi="Times New Roman" w:cs="Times New Roman"/>
                <w:i/>
                <w:iCs/>
                <w:sz w:val="24"/>
                <w:szCs w:val="24"/>
                <w:lang w:eastAsia="hu-HU"/>
              </w:rPr>
              <w:t>Methodology of the Oppressed</w:t>
            </w:r>
            <w:r w:rsidRPr="00854284">
              <w:rPr>
                <w:rFonts w:ascii="Times New Roman" w:eastAsia="Times New Roman" w:hAnsi="Times New Roman" w:cs="Times New Roman"/>
                <w:sz w:val="24"/>
                <w:szCs w:val="24"/>
                <w:lang w:eastAsia="hu-HU"/>
              </w:rPr>
              <w:t>, Minneapolis 2000; and Schueller: "Analogy and (White) Feminist Theory“, op. cit.</w:t>
            </w:r>
          </w:p>
          <w:bookmarkStart w:id="50" w:name="_ftn16"/>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"_ftnref16"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[16]</w:t>
            </w:r>
            <w:r w:rsidRPr="00854284">
              <w:rPr>
                <w:rFonts w:ascii="Times New Roman" w:eastAsia="Times New Roman" w:hAnsi="Times New Roman" w:cs="Times New Roman"/>
                <w:sz w:val="24"/>
                <w:szCs w:val="24"/>
                <w:lang w:eastAsia="hu-HU"/>
              </w:rPr>
              <w:fldChar w:fldCharType="end"/>
            </w:r>
            <w:bookmarkEnd w:id="50"/>
            <w:r w:rsidRPr="00854284">
              <w:rPr>
                <w:rFonts w:ascii="Times New Roman" w:eastAsia="Times New Roman" w:hAnsi="Times New Roman" w:cs="Times New Roman"/>
                <w:sz w:val="24"/>
                <w:szCs w:val="24"/>
                <w:lang w:eastAsia="hu-HU"/>
              </w:rPr>
              <w:t xml:space="preserve"> Currier, Dianne: "Feminist Technological Futures: Deleuze and Body/Technology Assemblages“, in: </w:t>
            </w:r>
            <w:r w:rsidRPr="00854284">
              <w:rPr>
                <w:rFonts w:ascii="Times New Roman" w:eastAsia="Times New Roman" w:hAnsi="Times New Roman" w:cs="Times New Roman"/>
                <w:i/>
                <w:iCs/>
                <w:sz w:val="24"/>
                <w:szCs w:val="24"/>
                <w:lang w:eastAsia="hu-HU"/>
              </w:rPr>
              <w:t>Feminist Theory</w:t>
            </w:r>
            <w:r w:rsidRPr="00854284">
              <w:rPr>
                <w:rFonts w:ascii="Times New Roman" w:eastAsia="Times New Roman" w:hAnsi="Times New Roman" w:cs="Times New Roman"/>
                <w:sz w:val="24"/>
                <w:szCs w:val="24"/>
                <w:lang w:eastAsia="hu-HU"/>
              </w:rPr>
              <w:t>, 2003, No. 3, pp. 321–338, pg. 323.</w:t>
            </w:r>
          </w:p>
          <w:bookmarkStart w:id="51" w:name="_ftn17"/>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"_ftnref17"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[17]</w:t>
            </w:r>
            <w:r w:rsidRPr="00854284">
              <w:rPr>
                <w:rFonts w:ascii="Times New Roman" w:eastAsia="Times New Roman" w:hAnsi="Times New Roman" w:cs="Times New Roman"/>
                <w:sz w:val="24"/>
                <w:szCs w:val="24"/>
                <w:lang w:eastAsia="hu-HU"/>
              </w:rPr>
              <w:fldChar w:fldCharType="end"/>
            </w:r>
            <w:bookmarkEnd w:id="51"/>
            <w:r w:rsidRPr="00854284">
              <w:rPr>
                <w:rFonts w:ascii="Times New Roman" w:eastAsia="Times New Roman" w:hAnsi="Times New Roman" w:cs="Times New Roman"/>
                <w:sz w:val="24"/>
                <w:szCs w:val="24"/>
                <w:lang w:eastAsia="hu-HU"/>
              </w:rPr>
              <w:t xml:space="preserve"> Cf. Parisi, Luciana: </w:t>
            </w:r>
            <w:r w:rsidRPr="00854284">
              <w:rPr>
                <w:rFonts w:ascii="Times New Roman" w:eastAsia="Times New Roman" w:hAnsi="Times New Roman" w:cs="Times New Roman"/>
                <w:i/>
                <w:iCs/>
                <w:sz w:val="24"/>
                <w:szCs w:val="24"/>
                <w:lang w:eastAsia="hu-HU"/>
              </w:rPr>
              <w:t>Abstract Sex: Philosophy, Technology, and Mutations of Desire</w:t>
            </w:r>
            <w:r w:rsidRPr="00854284">
              <w:rPr>
                <w:rFonts w:ascii="Times New Roman" w:eastAsia="Times New Roman" w:hAnsi="Times New Roman" w:cs="Times New Roman"/>
                <w:sz w:val="24"/>
                <w:szCs w:val="24"/>
                <w:lang w:eastAsia="hu-HU"/>
              </w:rPr>
              <w:t>, London, New York 2004, pg. 12</w:t>
            </w:r>
          </w:p>
          <w:bookmarkStart w:id="52" w:name="_ftn18"/>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"_ftnref18"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[18]</w:t>
            </w:r>
            <w:r w:rsidRPr="00854284">
              <w:rPr>
                <w:rFonts w:ascii="Times New Roman" w:eastAsia="Times New Roman" w:hAnsi="Times New Roman" w:cs="Times New Roman"/>
                <w:sz w:val="24"/>
                <w:szCs w:val="24"/>
                <w:lang w:eastAsia="hu-HU"/>
              </w:rPr>
              <w:fldChar w:fldCharType="end"/>
            </w:r>
            <w:bookmarkEnd w:id="52"/>
            <w:r w:rsidRPr="00854284">
              <w:rPr>
                <w:rFonts w:ascii="Times New Roman" w:eastAsia="Times New Roman" w:hAnsi="Times New Roman" w:cs="Times New Roman"/>
                <w:sz w:val="24"/>
                <w:szCs w:val="24"/>
                <w:lang w:eastAsia="hu-HU"/>
              </w:rPr>
              <w:t xml:space="preserve"> Cf. Phillips, John: "Agencement/Assemblage“, in: </w:t>
            </w:r>
            <w:r w:rsidRPr="00854284">
              <w:rPr>
                <w:rFonts w:ascii="Times New Roman" w:eastAsia="Times New Roman" w:hAnsi="Times New Roman" w:cs="Times New Roman"/>
                <w:i/>
                <w:iCs/>
                <w:sz w:val="24"/>
                <w:szCs w:val="24"/>
                <w:lang w:eastAsia="hu-HU"/>
              </w:rPr>
              <w:t>Theory Culture &amp; Society</w:t>
            </w:r>
            <w:r w:rsidRPr="00854284">
              <w:rPr>
                <w:rFonts w:ascii="Times New Roman" w:eastAsia="Times New Roman" w:hAnsi="Times New Roman" w:cs="Times New Roman"/>
                <w:sz w:val="24"/>
                <w:szCs w:val="24"/>
                <w:lang w:eastAsia="hu-HU"/>
              </w:rPr>
              <w:t>, 2006, No. 2–3, pp. 108–109.</w:t>
            </w:r>
          </w:p>
          <w:bookmarkStart w:id="53" w:name="_ftn19"/>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"_ftnref19"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[19]</w:t>
            </w:r>
            <w:r w:rsidRPr="00854284">
              <w:rPr>
                <w:rFonts w:ascii="Times New Roman" w:eastAsia="Times New Roman" w:hAnsi="Times New Roman" w:cs="Times New Roman"/>
                <w:sz w:val="24"/>
                <w:szCs w:val="24"/>
                <w:lang w:eastAsia="hu-HU"/>
              </w:rPr>
              <w:fldChar w:fldCharType="end"/>
            </w:r>
            <w:bookmarkEnd w:id="53"/>
            <w:r w:rsidRPr="00854284">
              <w:rPr>
                <w:rFonts w:ascii="Times New Roman" w:eastAsia="Times New Roman" w:hAnsi="Times New Roman" w:cs="Times New Roman"/>
                <w:sz w:val="24"/>
                <w:szCs w:val="24"/>
                <w:lang w:eastAsia="hu-HU"/>
              </w:rPr>
              <w:t xml:space="preserve"> Barad, Karen: "Posthumanist Performativity: Toward an Understanding of How Matter Comes to Matter“, in: </w:t>
            </w:r>
            <w:r w:rsidRPr="00854284">
              <w:rPr>
                <w:rFonts w:ascii="Times New Roman" w:eastAsia="Times New Roman" w:hAnsi="Times New Roman" w:cs="Times New Roman"/>
                <w:i/>
                <w:iCs/>
                <w:sz w:val="24"/>
                <w:szCs w:val="24"/>
                <w:lang w:eastAsia="hu-HU"/>
              </w:rPr>
              <w:t>Signs. Journal of Women and Society</w:t>
            </w:r>
            <w:r w:rsidRPr="00854284">
              <w:rPr>
                <w:rFonts w:ascii="Times New Roman" w:eastAsia="Times New Roman" w:hAnsi="Times New Roman" w:cs="Times New Roman"/>
                <w:sz w:val="24"/>
                <w:szCs w:val="24"/>
                <w:lang w:eastAsia="hu-HU"/>
              </w:rPr>
              <w:t>, 2003, No. 3, pp. 801–832, here pg. 802.</w:t>
            </w:r>
          </w:p>
          <w:bookmarkStart w:id="54" w:name="_ftn20"/>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"_ftnref20"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[20]</w:t>
            </w:r>
            <w:r w:rsidRPr="00854284">
              <w:rPr>
                <w:rFonts w:ascii="Times New Roman" w:eastAsia="Times New Roman" w:hAnsi="Times New Roman" w:cs="Times New Roman"/>
                <w:sz w:val="24"/>
                <w:szCs w:val="24"/>
                <w:lang w:eastAsia="hu-HU"/>
              </w:rPr>
              <w:fldChar w:fldCharType="end"/>
            </w:r>
            <w:bookmarkEnd w:id="54"/>
            <w:r w:rsidRPr="00854284">
              <w:rPr>
                <w:rFonts w:ascii="Times New Roman" w:eastAsia="Times New Roman" w:hAnsi="Times New Roman" w:cs="Times New Roman"/>
                <w:sz w:val="24"/>
                <w:szCs w:val="24"/>
                <w:lang w:eastAsia="hu-HU"/>
              </w:rPr>
              <w:t xml:space="preserve"> De Landa, Manuel: </w:t>
            </w:r>
            <w:r w:rsidRPr="00854284">
              <w:rPr>
                <w:rFonts w:ascii="Times New Roman" w:eastAsia="Times New Roman" w:hAnsi="Times New Roman" w:cs="Times New Roman"/>
                <w:i/>
                <w:iCs/>
                <w:sz w:val="24"/>
                <w:szCs w:val="24"/>
                <w:lang w:eastAsia="hu-HU"/>
              </w:rPr>
              <w:t xml:space="preserve">A New Philosophy of Society: Assemblage Theory and Social Complexity, </w:t>
            </w:r>
            <w:r w:rsidRPr="00854284">
              <w:rPr>
                <w:rFonts w:ascii="Times New Roman" w:eastAsia="Times New Roman" w:hAnsi="Times New Roman" w:cs="Times New Roman"/>
                <w:sz w:val="24"/>
                <w:szCs w:val="24"/>
                <w:lang w:eastAsia="hu-HU"/>
              </w:rPr>
              <w:t>London 2006, pg. 16.</w:t>
            </w:r>
          </w:p>
          <w:bookmarkStart w:id="55" w:name="_ftn21"/>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"_ftnref21"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[21]</w:t>
            </w:r>
            <w:r w:rsidRPr="00854284">
              <w:rPr>
                <w:rFonts w:ascii="Times New Roman" w:eastAsia="Times New Roman" w:hAnsi="Times New Roman" w:cs="Times New Roman"/>
                <w:sz w:val="24"/>
                <w:szCs w:val="24"/>
                <w:lang w:eastAsia="hu-HU"/>
              </w:rPr>
              <w:fldChar w:fldCharType="end"/>
            </w:r>
            <w:bookmarkEnd w:id="55"/>
            <w:r w:rsidRPr="00854284">
              <w:rPr>
                <w:rFonts w:ascii="Times New Roman" w:eastAsia="Times New Roman" w:hAnsi="Times New Roman" w:cs="Times New Roman"/>
                <w:sz w:val="24"/>
                <w:szCs w:val="24"/>
                <w:lang w:eastAsia="hu-HU"/>
              </w:rPr>
              <w:t xml:space="preserve"> Barad: "Posthumanist Performativity“, op. cit</w:t>
            </w:r>
            <w:proofErr w:type="gramStart"/>
            <w:r w:rsidRPr="00854284">
              <w:rPr>
                <w:rFonts w:ascii="Times New Roman" w:eastAsia="Times New Roman" w:hAnsi="Times New Roman" w:cs="Times New Roman"/>
                <w:sz w:val="24"/>
                <w:szCs w:val="24"/>
                <w:lang w:eastAsia="hu-HU"/>
              </w:rPr>
              <w:t>.,</w:t>
            </w:r>
            <w:proofErr w:type="gramEnd"/>
            <w:r w:rsidRPr="00854284">
              <w:rPr>
                <w:rFonts w:ascii="Times New Roman" w:eastAsia="Times New Roman" w:hAnsi="Times New Roman" w:cs="Times New Roman"/>
                <w:sz w:val="24"/>
                <w:szCs w:val="24"/>
                <w:lang w:eastAsia="hu-HU"/>
              </w:rPr>
              <w:t xml:space="preserve"> pg. 801.</w:t>
            </w:r>
          </w:p>
          <w:bookmarkStart w:id="56" w:name="_ftn22"/>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"_ftnref22"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[22]</w:t>
            </w:r>
            <w:r w:rsidRPr="00854284">
              <w:rPr>
                <w:rFonts w:ascii="Times New Roman" w:eastAsia="Times New Roman" w:hAnsi="Times New Roman" w:cs="Times New Roman"/>
                <w:sz w:val="24"/>
                <w:szCs w:val="24"/>
                <w:lang w:eastAsia="hu-HU"/>
              </w:rPr>
              <w:fldChar w:fldCharType="end"/>
            </w:r>
            <w:bookmarkEnd w:id="56"/>
            <w:r w:rsidRPr="00854284">
              <w:rPr>
                <w:rFonts w:ascii="Times New Roman" w:eastAsia="Times New Roman" w:hAnsi="Times New Roman" w:cs="Times New Roman"/>
                <w:sz w:val="24"/>
                <w:szCs w:val="24"/>
                <w:lang w:eastAsia="hu-HU"/>
              </w:rPr>
              <w:t xml:space="preserve"> Deleuze, Gilles and Guattari, Félix: </w:t>
            </w:r>
            <w:r w:rsidRPr="00854284">
              <w:rPr>
                <w:rFonts w:ascii="Times New Roman" w:eastAsia="Times New Roman" w:hAnsi="Times New Roman" w:cs="Times New Roman"/>
                <w:i/>
                <w:iCs/>
                <w:sz w:val="24"/>
                <w:szCs w:val="24"/>
                <w:lang w:eastAsia="hu-HU"/>
              </w:rPr>
              <w:t>A Thousand Plateaus</w:t>
            </w:r>
            <w:r w:rsidRPr="00854284">
              <w:rPr>
                <w:rFonts w:ascii="Times New Roman" w:eastAsia="Times New Roman" w:hAnsi="Times New Roman" w:cs="Times New Roman"/>
                <w:sz w:val="24"/>
                <w:szCs w:val="24"/>
                <w:lang w:eastAsia="hu-HU"/>
              </w:rPr>
              <w:t>, translated by Brian Massumi, Minneapolis/London 1987.</w:t>
            </w:r>
          </w:p>
          <w:bookmarkStart w:id="57" w:name="_ftn23"/>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"_ftnref23"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[23]</w:t>
            </w:r>
            <w:r w:rsidRPr="00854284">
              <w:rPr>
                <w:rFonts w:ascii="Times New Roman" w:eastAsia="Times New Roman" w:hAnsi="Times New Roman" w:cs="Times New Roman"/>
                <w:sz w:val="24"/>
                <w:szCs w:val="24"/>
                <w:lang w:eastAsia="hu-HU"/>
              </w:rPr>
              <w:fldChar w:fldCharType="end"/>
            </w:r>
            <w:bookmarkEnd w:id="57"/>
            <w:r w:rsidRPr="00854284">
              <w:rPr>
                <w:rFonts w:ascii="Times New Roman" w:eastAsia="Times New Roman" w:hAnsi="Times New Roman" w:cs="Times New Roman"/>
                <w:sz w:val="24"/>
                <w:szCs w:val="24"/>
                <w:lang w:eastAsia="hu-HU"/>
              </w:rPr>
              <w:t xml:space="preserve"> De Landa: </w:t>
            </w:r>
            <w:r w:rsidRPr="00854284">
              <w:rPr>
                <w:rFonts w:ascii="Times New Roman" w:eastAsia="Times New Roman" w:hAnsi="Times New Roman" w:cs="Times New Roman"/>
                <w:i/>
                <w:iCs/>
                <w:sz w:val="24"/>
                <w:szCs w:val="24"/>
                <w:lang w:eastAsia="hu-HU"/>
              </w:rPr>
              <w:t xml:space="preserve">A New Philosophy of Society, </w:t>
            </w:r>
            <w:r w:rsidRPr="00854284">
              <w:rPr>
                <w:rFonts w:ascii="Times New Roman" w:eastAsia="Times New Roman" w:hAnsi="Times New Roman" w:cs="Times New Roman"/>
                <w:sz w:val="24"/>
                <w:szCs w:val="24"/>
                <w:lang w:eastAsia="hu-HU"/>
              </w:rPr>
              <w:t>op. cit, pg. 56.</w:t>
            </w:r>
          </w:p>
          <w:bookmarkStart w:id="58" w:name="_ftn24"/>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"_ftnref24"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[24]</w:t>
            </w:r>
            <w:r w:rsidRPr="00854284">
              <w:rPr>
                <w:rFonts w:ascii="Times New Roman" w:eastAsia="Times New Roman" w:hAnsi="Times New Roman" w:cs="Times New Roman"/>
                <w:sz w:val="24"/>
                <w:szCs w:val="24"/>
                <w:lang w:eastAsia="hu-HU"/>
              </w:rPr>
              <w:fldChar w:fldCharType="end"/>
            </w:r>
            <w:bookmarkEnd w:id="58"/>
            <w:r w:rsidRPr="00854284">
              <w:rPr>
                <w:rFonts w:ascii="Times New Roman" w:eastAsia="Times New Roman" w:hAnsi="Times New Roman" w:cs="Times New Roman"/>
                <w:sz w:val="24"/>
                <w:szCs w:val="24"/>
                <w:lang w:eastAsia="hu-HU"/>
              </w:rPr>
              <w:t xml:space="preserve"> Crenshaw: "Demarginalizing the Intersection of Race and Sex“, in: </w:t>
            </w:r>
            <w:r w:rsidRPr="00854284">
              <w:rPr>
                <w:rFonts w:ascii="Times New Roman" w:eastAsia="Times New Roman" w:hAnsi="Times New Roman" w:cs="Times New Roman"/>
                <w:i/>
                <w:iCs/>
                <w:sz w:val="24"/>
                <w:szCs w:val="24"/>
                <w:lang w:eastAsia="hu-HU"/>
              </w:rPr>
              <w:t xml:space="preserve">The University of Chicago Legal Forum, </w:t>
            </w:r>
            <w:r w:rsidRPr="00854284">
              <w:rPr>
                <w:rFonts w:ascii="Times New Roman" w:eastAsia="Times New Roman" w:hAnsi="Times New Roman" w:cs="Times New Roman"/>
                <w:sz w:val="24"/>
                <w:szCs w:val="24"/>
                <w:lang w:eastAsia="hu-HU"/>
              </w:rPr>
              <w:t>op. cit</w:t>
            </w:r>
            <w:proofErr w:type="gramStart"/>
            <w:r w:rsidRPr="00854284">
              <w:rPr>
                <w:rFonts w:ascii="Times New Roman" w:eastAsia="Times New Roman" w:hAnsi="Times New Roman" w:cs="Times New Roman"/>
                <w:sz w:val="24"/>
                <w:szCs w:val="24"/>
                <w:lang w:eastAsia="hu-HU"/>
              </w:rPr>
              <w:t>.,</w:t>
            </w:r>
            <w:proofErr w:type="gramEnd"/>
            <w:r w:rsidRPr="00854284">
              <w:rPr>
                <w:rFonts w:ascii="Times New Roman" w:eastAsia="Times New Roman" w:hAnsi="Times New Roman" w:cs="Times New Roman"/>
                <w:sz w:val="24"/>
                <w:szCs w:val="24"/>
                <w:lang w:eastAsia="hu-HU"/>
              </w:rPr>
              <w:t xml:space="preserve"> pg. 149.</w:t>
            </w:r>
          </w:p>
          <w:bookmarkStart w:id="59" w:name="_ftn25"/>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"_ftnref25"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[25]</w:t>
            </w:r>
            <w:r w:rsidRPr="00854284">
              <w:rPr>
                <w:rFonts w:ascii="Times New Roman" w:eastAsia="Times New Roman" w:hAnsi="Times New Roman" w:cs="Times New Roman"/>
                <w:sz w:val="24"/>
                <w:szCs w:val="24"/>
                <w:lang w:eastAsia="hu-HU"/>
              </w:rPr>
              <w:fldChar w:fldCharType="end"/>
            </w:r>
            <w:bookmarkEnd w:id="59"/>
            <w:r w:rsidRPr="00854284">
              <w:rPr>
                <w:rFonts w:ascii="Times New Roman" w:eastAsia="Times New Roman" w:hAnsi="Times New Roman" w:cs="Times New Roman"/>
                <w:sz w:val="24"/>
                <w:szCs w:val="24"/>
                <w:lang w:eastAsia="hu-HU"/>
              </w:rPr>
              <w:t xml:space="preserve"> Massumi, Brian: </w:t>
            </w:r>
            <w:r w:rsidRPr="00854284">
              <w:rPr>
                <w:rFonts w:ascii="Times New Roman" w:eastAsia="Times New Roman" w:hAnsi="Times New Roman" w:cs="Times New Roman"/>
                <w:i/>
                <w:iCs/>
                <w:sz w:val="24"/>
                <w:szCs w:val="24"/>
                <w:lang w:eastAsia="hu-HU"/>
              </w:rPr>
              <w:t>Parables for the Virtual: Movement, Affect, Sensation</w:t>
            </w:r>
            <w:r w:rsidRPr="00854284">
              <w:rPr>
                <w:rFonts w:ascii="Times New Roman" w:eastAsia="Times New Roman" w:hAnsi="Times New Roman" w:cs="Times New Roman"/>
                <w:sz w:val="24"/>
                <w:szCs w:val="24"/>
                <w:lang w:eastAsia="hu-HU"/>
              </w:rPr>
              <w:t>, Durham 2002.</w:t>
            </w:r>
          </w:p>
          <w:bookmarkStart w:id="60" w:name="_ftn26"/>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"_ftnref26"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[26]</w:t>
            </w:r>
            <w:r w:rsidRPr="00854284">
              <w:rPr>
                <w:rFonts w:ascii="Times New Roman" w:eastAsia="Times New Roman" w:hAnsi="Times New Roman" w:cs="Times New Roman"/>
                <w:sz w:val="24"/>
                <w:szCs w:val="24"/>
                <w:lang w:eastAsia="hu-HU"/>
              </w:rPr>
              <w:fldChar w:fldCharType="end"/>
            </w:r>
            <w:bookmarkEnd w:id="60"/>
            <w:r w:rsidRPr="00854284">
              <w:rPr>
                <w:rFonts w:ascii="Times New Roman" w:eastAsia="Times New Roman" w:hAnsi="Times New Roman" w:cs="Times New Roman"/>
                <w:sz w:val="24"/>
                <w:szCs w:val="24"/>
                <w:lang w:eastAsia="hu-HU"/>
              </w:rPr>
              <w:t xml:space="preserve"> Ibid</w:t>
            </w:r>
            <w:proofErr w:type="gramStart"/>
            <w:r w:rsidRPr="00854284">
              <w:rPr>
                <w:rFonts w:ascii="Times New Roman" w:eastAsia="Times New Roman" w:hAnsi="Times New Roman" w:cs="Times New Roman"/>
                <w:sz w:val="24"/>
                <w:szCs w:val="24"/>
                <w:lang w:eastAsia="hu-HU"/>
              </w:rPr>
              <w:t>.,</w:t>
            </w:r>
            <w:proofErr w:type="gramEnd"/>
            <w:r w:rsidRPr="00854284">
              <w:rPr>
                <w:rFonts w:ascii="Times New Roman" w:eastAsia="Times New Roman" w:hAnsi="Times New Roman" w:cs="Times New Roman"/>
                <w:sz w:val="24"/>
                <w:szCs w:val="24"/>
                <w:lang w:eastAsia="hu-HU"/>
              </w:rPr>
              <w:t xml:space="preserve"> pg. 15.</w:t>
            </w:r>
          </w:p>
          <w:bookmarkStart w:id="61" w:name="_ftn27"/>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"_ftnref27"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[27]</w:t>
            </w:r>
            <w:r w:rsidRPr="00854284">
              <w:rPr>
                <w:rFonts w:ascii="Times New Roman" w:eastAsia="Times New Roman" w:hAnsi="Times New Roman" w:cs="Times New Roman"/>
                <w:sz w:val="24"/>
                <w:szCs w:val="24"/>
                <w:lang w:eastAsia="hu-HU"/>
              </w:rPr>
              <w:fldChar w:fldCharType="end"/>
            </w:r>
            <w:bookmarkEnd w:id="61"/>
            <w:r w:rsidRPr="00854284">
              <w:rPr>
                <w:rFonts w:ascii="Times New Roman" w:eastAsia="Times New Roman" w:hAnsi="Times New Roman" w:cs="Times New Roman"/>
                <w:sz w:val="24"/>
                <w:szCs w:val="24"/>
                <w:lang w:eastAsia="hu-HU"/>
              </w:rPr>
              <w:t xml:space="preserve"> Ibid</w:t>
            </w:r>
            <w:proofErr w:type="gramStart"/>
            <w:r w:rsidRPr="00854284">
              <w:rPr>
                <w:rFonts w:ascii="Times New Roman" w:eastAsia="Times New Roman" w:hAnsi="Times New Roman" w:cs="Times New Roman"/>
                <w:sz w:val="24"/>
                <w:szCs w:val="24"/>
                <w:lang w:eastAsia="hu-HU"/>
              </w:rPr>
              <w:t>.,</w:t>
            </w:r>
            <w:proofErr w:type="gramEnd"/>
            <w:r w:rsidRPr="00854284">
              <w:rPr>
                <w:rFonts w:ascii="Times New Roman" w:eastAsia="Times New Roman" w:hAnsi="Times New Roman" w:cs="Times New Roman"/>
                <w:sz w:val="24"/>
                <w:szCs w:val="24"/>
                <w:lang w:eastAsia="hu-HU"/>
              </w:rPr>
              <w:t xml:space="preserve"> pg. 14.</w:t>
            </w:r>
          </w:p>
          <w:bookmarkStart w:id="62" w:name="_ftn28"/>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lastRenderedPageBreak/>
              <w:fldChar w:fldCharType="begin"/>
            </w:r>
            <w:r w:rsidRPr="00854284">
              <w:rPr>
                <w:rFonts w:ascii="Times New Roman" w:eastAsia="Times New Roman" w:hAnsi="Times New Roman" w:cs="Times New Roman"/>
                <w:sz w:val="24"/>
                <w:szCs w:val="24"/>
                <w:lang w:eastAsia="hu-HU"/>
              </w:rPr>
              <w:instrText xml:space="preserve"> HYPERLINK "http://eipcp.net/transversal/0811/puar/en/" \l "_ftnref28"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[28]</w:t>
            </w:r>
            <w:r w:rsidRPr="00854284">
              <w:rPr>
                <w:rFonts w:ascii="Times New Roman" w:eastAsia="Times New Roman" w:hAnsi="Times New Roman" w:cs="Times New Roman"/>
                <w:sz w:val="24"/>
                <w:szCs w:val="24"/>
                <w:lang w:eastAsia="hu-HU"/>
              </w:rPr>
              <w:fldChar w:fldCharType="end"/>
            </w:r>
            <w:bookmarkEnd w:id="62"/>
            <w:r w:rsidRPr="00854284">
              <w:rPr>
                <w:rFonts w:ascii="Times New Roman" w:eastAsia="Times New Roman" w:hAnsi="Times New Roman" w:cs="Times New Roman"/>
                <w:sz w:val="24"/>
                <w:szCs w:val="24"/>
                <w:lang w:eastAsia="hu-HU"/>
              </w:rPr>
              <w:t xml:space="preserve"> Ibid</w:t>
            </w:r>
            <w:proofErr w:type="gramStart"/>
            <w:r w:rsidRPr="00854284">
              <w:rPr>
                <w:rFonts w:ascii="Times New Roman" w:eastAsia="Times New Roman" w:hAnsi="Times New Roman" w:cs="Times New Roman"/>
                <w:sz w:val="24"/>
                <w:szCs w:val="24"/>
                <w:lang w:eastAsia="hu-HU"/>
              </w:rPr>
              <w:t>.,</w:t>
            </w:r>
            <w:proofErr w:type="gramEnd"/>
            <w:r w:rsidRPr="00854284">
              <w:rPr>
                <w:rFonts w:ascii="Times New Roman" w:eastAsia="Times New Roman" w:hAnsi="Times New Roman" w:cs="Times New Roman"/>
                <w:sz w:val="24"/>
                <w:szCs w:val="24"/>
                <w:lang w:eastAsia="hu-HU"/>
              </w:rPr>
              <w:t xml:space="preserve"> pp. 80–81.</w:t>
            </w:r>
          </w:p>
          <w:bookmarkStart w:id="63" w:name="_ftn29"/>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"_ftnref29"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[29]</w:t>
            </w:r>
            <w:r w:rsidRPr="00854284">
              <w:rPr>
                <w:rFonts w:ascii="Times New Roman" w:eastAsia="Times New Roman" w:hAnsi="Times New Roman" w:cs="Times New Roman"/>
                <w:sz w:val="24"/>
                <w:szCs w:val="24"/>
                <w:lang w:eastAsia="hu-HU"/>
              </w:rPr>
              <w:fldChar w:fldCharType="end"/>
            </w:r>
            <w:bookmarkEnd w:id="63"/>
            <w:r w:rsidRPr="00854284">
              <w:rPr>
                <w:rFonts w:ascii="Times New Roman" w:eastAsia="Times New Roman" w:hAnsi="Times New Roman" w:cs="Times New Roman"/>
                <w:sz w:val="24"/>
                <w:szCs w:val="24"/>
                <w:lang w:eastAsia="hu-HU"/>
              </w:rPr>
              <w:t xml:space="preserve"> Ibid</w:t>
            </w:r>
            <w:proofErr w:type="gramStart"/>
            <w:r w:rsidRPr="00854284">
              <w:rPr>
                <w:rFonts w:ascii="Times New Roman" w:eastAsia="Times New Roman" w:hAnsi="Times New Roman" w:cs="Times New Roman"/>
                <w:sz w:val="24"/>
                <w:szCs w:val="24"/>
                <w:lang w:eastAsia="hu-HU"/>
              </w:rPr>
              <w:t>.,</w:t>
            </w:r>
            <w:proofErr w:type="gramEnd"/>
            <w:r w:rsidRPr="00854284">
              <w:rPr>
                <w:rFonts w:ascii="Times New Roman" w:eastAsia="Times New Roman" w:hAnsi="Times New Roman" w:cs="Times New Roman"/>
                <w:sz w:val="24"/>
                <w:szCs w:val="24"/>
                <w:lang w:eastAsia="hu-HU"/>
              </w:rPr>
              <w:t xml:space="preserve"> pg. 269, footnote 5.</w:t>
            </w:r>
          </w:p>
          <w:bookmarkStart w:id="64" w:name="_ftn30"/>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"_ftnref30"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[30]</w:t>
            </w:r>
            <w:r w:rsidRPr="00854284">
              <w:rPr>
                <w:rFonts w:ascii="Times New Roman" w:eastAsia="Times New Roman" w:hAnsi="Times New Roman" w:cs="Times New Roman"/>
                <w:sz w:val="24"/>
                <w:szCs w:val="24"/>
                <w:lang w:eastAsia="hu-HU"/>
              </w:rPr>
              <w:fldChar w:fldCharType="end"/>
            </w:r>
            <w:bookmarkEnd w:id="64"/>
            <w:r w:rsidRPr="00854284">
              <w:rPr>
                <w:rFonts w:ascii="Times New Roman" w:eastAsia="Times New Roman" w:hAnsi="Times New Roman" w:cs="Times New Roman"/>
                <w:sz w:val="24"/>
                <w:szCs w:val="24"/>
                <w:lang w:eastAsia="hu-HU"/>
              </w:rPr>
              <w:t xml:space="preserve"> Cf. Massad, Joseph: "How Not to Study Gender in the Arab World“, Lecture at Oberlin College, October 2009.</w:t>
            </w:r>
          </w:p>
          <w:bookmarkStart w:id="65" w:name="_ftn31"/>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"_ftnref31"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[31]</w:t>
            </w:r>
            <w:r w:rsidRPr="00854284">
              <w:rPr>
                <w:rFonts w:ascii="Times New Roman" w:eastAsia="Times New Roman" w:hAnsi="Times New Roman" w:cs="Times New Roman"/>
                <w:sz w:val="24"/>
                <w:szCs w:val="24"/>
                <w:lang w:eastAsia="hu-HU"/>
              </w:rPr>
              <w:fldChar w:fldCharType="end"/>
            </w:r>
            <w:bookmarkEnd w:id="65"/>
            <w:r w:rsidRPr="00854284">
              <w:rPr>
                <w:rFonts w:ascii="Times New Roman" w:eastAsia="Times New Roman" w:hAnsi="Times New Roman" w:cs="Times New Roman"/>
                <w:sz w:val="24"/>
                <w:szCs w:val="24"/>
                <w:lang w:eastAsia="hu-HU"/>
              </w:rPr>
              <w:t xml:space="preserve"> Puar: </w:t>
            </w:r>
            <w:r w:rsidRPr="00854284">
              <w:rPr>
                <w:rFonts w:ascii="Times New Roman" w:eastAsia="Times New Roman" w:hAnsi="Times New Roman" w:cs="Times New Roman"/>
                <w:i/>
                <w:iCs/>
                <w:sz w:val="24"/>
                <w:szCs w:val="24"/>
                <w:lang w:eastAsia="hu-HU"/>
              </w:rPr>
              <w:t>Terrorist Assemblages</w:t>
            </w:r>
            <w:r w:rsidRPr="00854284">
              <w:rPr>
                <w:rFonts w:ascii="Times New Roman" w:eastAsia="Times New Roman" w:hAnsi="Times New Roman" w:cs="Times New Roman"/>
                <w:sz w:val="24"/>
                <w:szCs w:val="24"/>
                <w:lang w:eastAsia="hu-HU"/>
              </w:rPr>
              <w:t>, op. cit</w:t>
            </w:r>
            <w:proofErr w:type="gramStart"/>
            <w:r w:rsidRPr="00854284">
              <w:rPr>
                <w:rFonts w:ascii="Times New Roman" w:eastAsia="Times New Roman" w:hAnsi="Times New Roman" w:cs="Times New Roman"/>
                <w:sz w:val="24"/>
                <w:szCs w:val="24"/>
                <w:lang w:eastAsia="hu-HU"/>
              </w:rPr>
              <w:t>.,</w:t>
            </w:r>
            <w:proofErr w:type="gramEnd"/>
            <w:r w:rsidRPr="00854284">
              <w:rPr>
                <w:rFonts w:ascii="Times New Roman" w:eastAsia="Times New Roman" w:hAnsi="Times New Roman" w:cs="Times New Roman"/>
                <w:sz w:val="24"/>
                <w:szCs w:val="24"/>
                <w:lang w:eastAsia="hu-HU"/>
              </w:rPr>
              <w:t xml:space="preserve"> pg. 206.</w:t>
            </w:r>
          </w:p>
          <w:bookmarkStart w:id="66" w:name="_ftn32"/>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"_ftnref32"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[32]</w:t>
            </w:r>
            <w:r w:rsidRPr="00854284">
              <w:rPr>
                <w:rFonts w:ascii="Times New Roman" w:eastAsia="Times New Roman" w:hAnsi="Times New Roman" w:cs="Times New Roman"/>
                <w:sz w:val="24"/>
                <w:szCs w:val="24"/>
                <w:lang w:eastAsia="hu-HU"/>
              </w:rPr>
              <w:fldChar w:fldCharType="end"/>
            </w:r>
            <w:bookmarkEnd w:id="66"/>
            <w:r w:rsidRPr="00854284">
              <w:rPr>
                <w:rFonts w:ascii="Times New Roman" w:eastAsia="Times New Roman" w:hAnsi="Times New Roman" w:cs="Times New Roman"/>
                <w:sz w:val="24"/>
                <w:szCs w:val="24"/>
                <w:lang w:eastAsia="hu-HU"/>
              </w:rPr>
              <w:t xml:space="preserve"> Foucault, Michel: </w:t>
            </w:r>
            <w:r w:rsidRPr="00854284">
              <w:rPr>
                <w:rFonts w:ascii="Times New Roman" w:eastAsia="Times New Roman" w:hAnsi="Times New Roman" w:cs="Times New Roman"/>
                <w:i/>
                <w:iCs/>
                <w:sz w:val="24"/>
                <w:szCs w:val="24"/>
                <w:lang w:eastAsia="hu-HU"/>
              </w:rPr>
              <w:t xml:space="preserve">Security, Territory, Population: Lectures at the </w:t>
            </w:r>
            <w:proofErr w:type="gramStart"/>
            <w:r w:rsidRPr="00854284">
              <w:rPr>
                <w:rFonts w:ascii="Times New Roman" w:eastAsia="Times New Roman" w:hAnsi="Times New Roman" w:cs="Times New Roman"/>
                <w:i/>
                <w:iCs/>
                <w:sz w:val="24"/>
                <w:szCs w:val="24"/>
                <w:lang w:eastAsia="hu-HU"/>
              </w:rPr>
              <w:t>College</w:t>
            </w:r>
            <w:proofErr w:type="gramEnd"/>
            <w:r w:rsidRPr="00854284">
              <w:rPr>
                <w:rFonts w:ascii="Times New Roman" w:eastAsia="Times New Roman" w:hAnsi="Times New Roman" w:cs="Times New Roman"/>
                <w:i/>
                <w:iCs/>
                <w:sz w:val="24"/>
                <w:szCs w:val="24"/>
                <w:lang w:eastAsia="hu-HU"/>
              </w:rPr>
              <w:t xml:space="preserve"> de France, 1977</w:t>
            </w:r>
            <w:r w:rsidRPr="00854284">
              <w:rPr>
                <w:rFonts w:ascii="Times New Roman" w:eastAsia="Times New Roman" w:hAnsi="Times New Roman" w:cs="Times New Roman"/>
                <w:sz w:val="24"/>
                <w:szCs w:val="24"/>
                <w:lang w:eastAsia="hu-HU"/>
              </w:rPr>
              <w:t>–</w:t>
            </w:r>
            <w:r w:rsidRPr="00854284">
              <w:rPr>
                <w:rFonts w:ascii="Times New Roman" w:eastAsia="Times New Roman" w:hAnsi="Times New Roman" w:cs="Times New Roman"/>
                <w:i/>
                <w:iCs/>
                <w:sz w:val="24"/>
                <w:szCs w:val="24"/>
                <w:lang w:eastAsia="hu-HU"/>
              </w:rPr>
              <w:t>78</w:t>
            </w:r>
            <w:r w:rsidRPr="00854284">
              <w:rPr>
                <w:rFonts w:ascii="Times New Roman" w:eastAsia="Times New Roman" w:hAnsi="Times New Roman" w:cs="Times New Roman"/>
                <w:sz w:val="24"/>
                <w:szCs w:val="24"/>
                <w:lang w:eastAsia="hu-HU"/>
              </w:rPr>
              <w:t>, translated by Graham Burchell, Basingstoke 2007, p. 12</w:t>
            </w:r>
          </w:p>
          <w:bookmarkStart w:id="67" w:name="_ftn33"/>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"_ftnref33"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[33]</w:t>
            </w:r>
            <w:r w:rsidRPr="00854284">
              <w:rPr>
                <w:rFonts w:ascii="Times New Roman" w:eastAsia="Times New Roman" w:hAnsi="Times New Roman" w:cs="Times New Roman"/>
                <w:sz w:val="24"/>
                <w:szCs w:val="24"/>
                <w:lang w:eastAsia="hu-HU"/>
              </w:rPr>
              <w:fldChar w:fldCharType="end"/>
            </w:r>
            <w:bookmarkEnd w:id="67"/>
            <w:r w:rsidRPr="00854284">
              <w:rPr>
                <w:rFonts w:ascii="Times New Roman" w:eastAsia="Times New Roman" w:hAnsi="Times New Roman" w:cs="Times New Roman"/>
                <w:sz w:val="24"/>
                <w:szCs w:val="24"/>
                <w:lang w:eastAsia="hu-HU"/>
              </w:rPr>
              <w:t xml:space="preserve"> Moraga, Cherrie and Anzaldua, Gloria: </w:t>
            </w:r>
            <w:r w:rsidRPr="00854284">
              <w:rPr>
                <w:rFonts w:ascii="Times New Roman" w:eastAsia="Times New Roman" w:hAnsi="Times New Roman" w:cs="Times New Roman"/>
                <w:i/>
                <w:iCs/>
                <w:sz w:val="24"/>
                <w:szCs w:val="24"/>
                <w:lang w:eastAsia="hu-HU"/>
              </w:rPr>
              <w:t>This Bridge Called My Back: Writings By Radical Women of Color</w:t>
            </w:r>
            <w:r w:rsidRPr="00854284">
              <w:rPr>
                <w:rFonts w:ascii="Times New Roman" w:eastAsia="Times New Roman" w:hAnsi="Times New Roman" w:cs="Times New Roman"/>
                <w:sz w:val="24"/>
                <w:szCs w:val="24"/>
                <w:lang w:eastAsia="hu-HU"/>
              </w:rPr>
              <w:t>, New York 1984.</w:t>
            </w:r>
          </w:p>
          <w:bookmarkStart w:id="68" w:name="_ftn34"/>
          <w:p w:rsidR="00854284" w:rsidRPr="00854284" w:rsidRDefault="00854284" w:rsidP="00854284">
            <w:pPr>
              <w:spacing w:before="100" w:beforeAutospacing="1" w:after="100" w:afterAutospacing="1" w:line="240" w:lineRule="auto"/>
              <w:rPr>
                <w:rFonts w:ascii="Times New Roman" w:eastAsia="Times New Roman" w:hAnsi="Times New Roman" w:cs="Times New Roman"/>
                <w:sz w:val="24"/>
                <w:szCs w:val="24"/>
                <w:lang w:eastAsia="hu-HU"/>
              </w:rPr>
            </w:pPr>
            <w:r w:rsidRPr="00854284">
              <w:rPr>
                <w:rFonts w:ascii="Times New Roman" w:eastAsia="Times New Roman" w:hAnsi="Times New Roman" w:cs="Times New Roman"/>
                <w:sz w:val="24"/>
                <w:szCs w:val="24"/>
                <w:lang w:eastAsia="hu-HU"/>
              </w:rPr>
              <w:fldChar w:fldCharType="begin"/>
            </w:r>
            <w:r w:rsidRPr="00854284">
              <w:rPr>
                <w:rFonts w:ascii="Times New Roman" w:eastAsia="Times New Roman" w:hAnsi="Times New Roman" w:cs="Times New Roman"/>
                <w:sz w:val="24"/>
                <w:szCs w:val="24"/>
                <w:lang w:eastAsia="hu-HU"/>
              </w:rPr>
              <w:instrText xml:space="preserve"> HYPERLINK "http://eipcp.net/transversal/0811/puar/en/" \l "_ftnref34" </w:instrText>
            </w:r>
            <w:r w:rsidRPr="00854284">
              <w:rPr>
                <w:rFonts w:ascii="Times New Roman" w:eastAsia="Times New Roman" w:hAnsi="Times New Roman" w:cs="Times New Roman"/>
                <w:sz w:val="24"/>
                <w:szCs w:val="24"/>
                <w:lang w:eastAsia="hu-HU"/>
              </w:rPr>
              <w:fldChar w:fldCharType="separate"/>
            </w:r>
            <w:r w:rsidRPr="00854284">
              <w:rPr>
                <w:rFonts w:ascii="Times New Roman" w:eastAsia="Times New Roman" w:hAnsi="Times New Roman" w:cs="Times New Roman"/>
                <w:color w:val="0000FF"/>
                <w:sz w:val="24"/>
                <w:szCs w:val="24"/>
                <w:u w:val="single"/>
                <w:lang w:eastAsia="hu-HU"/>
              </w:rPr>
              <w:t>[34]</w:t>
            </w:r>
            <w:r w:rsidRPr="00854284">
              <w:rPr>
                <w:rFonts w:ascii="Times New Roman" w:eastAsia="Times New Roman" w:hAnsi="Times New Roman" w:cs="Times New Roman"/>
                <w:sz w:val="24"/>
                <w:szCs w:val="24"/>
                <w:lang w:eastAsia="hu-HU"/>
              </w:rPr>
              <w:fldChar w:fldCharType="end"/>
            </w:r>
            <w:bookmarkEnd w:id="68"/>
            <w:r w:rsidRPr="00854284">
              <w:rPr>
                <w:rFonts w:ascii="Times New Roman" w:eastAsia="Times New Roman" w:hAnsi="Times New Roman" w:cs="Times New Roman"/>
                <w:sz w:val="24"/>
                <w:szCs w:val="24"/>
                <w:lang w:eastAsia="hu-HU"/>
              </w:rPr>
              <w:t xml:space="preserve"> Alarcon, Norma: "The Theoretical </w:t>
            </w:r>
            <w:proofErr w:type="gramStart"/>
            <w:r w:rsidRPr="00854284">
              <w:rPr>
                <w:rFonts w:ascii="Times New Roman" w:eastAsia="Times New Roman" w:hAnsi="Times New Roman" w:cs="Times New Roman"/>
                <w:sz w:val="24"/>
                <w:szCs w:val="24"/>
                <w:lang w:eastAsia="hu-HU"/>
              </w:rPr>
              <w:t>Subject(</w:t>
            </w:r>
            <w:proofErr w:type="gramEnd"/>
            <w:r w:rsidRPr="00854284">
              <w:rPr>
                <w:rFonts w:ascii="Times New Roman" w:eastAsia="Times New Roman" w:hAnsi="Times New Roman" w:cs="Times New Roman"/>
                <w:sz w:val="24"/>
                <w:szCs w:val="24"/>
                <w:lang w:eastAsia="hu-HU"/>
              </w:rPr>
              <w:t xml:space="preserve">s) of 'This Bridge Called My Back’ and Anglo-American Feminism“, in: Anzaldua, Gloria (ed.): </w:t>
            </w:r>
            <w:r w:rsidRPr="00854284">
              <w:rPr>
                <w:rFonts w:ascii="Times New Roman" w:eastAsia="Times New Roman" w:hAnsi="Times New Roman" w:cs="Times New Roman"/>
                <w:i/>
                <w:iCs/>
                <w:sz w:val="24"/>
                <w:szCs w:val="24"/>
                <w:lang w:eastAsia="hu-HU"/>
              </w:rPr>
              <w:t>Making Face, Making Soul/Hacienda Caras: Creative and Critical Perspectives by Feminists of Color</w:t>
            </w:r>
            <w:r w:rsidRPr="00854284">
              <w:rPr>
                <w:rFonts w:ascii="Times New Roman" w:eastAsia="Times New Roman" w:hAnsi="Times New Roman" w:cs="Times New Roman"/>
                <w:sz w:val="24"/>
                <w:szCs w:val="24"/>
                <w:lang w:eastAsia="hu-HU"/>
              </w:rPr>
              <w:t>, San Francisco 1990, pp. 356–369, here pg. 361.</w:t>
            </w:r>
          </w:p>
        </w:tc>
      </w:tr>
    </w:tbl>
    <w:p w:rsidR="00A41715" w:rsidRDefault="00A41715"/>
    <w:sectPr w:rsidR="00A417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284"/>
    <w:rsid w:val="005742DD"/>
    <w:rsid w:val="00854284"/>
    <w:rsid w:val="00A4171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2B6BB0-7DB6-4797-9180-B3486B27F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link w:val="Cmsor1Char"/>
    <w:uiPriority w:val="9"/>
    <w:qFormat/>
    <w:rsid w:val="008542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2">
    <w:name w:val="heading 2"/>
    <w:basedOn w:val="Norml"/>
    <w:link w:val="Cmsor2Char"/>
    <w:uiPriority w:val="9"/>
    <w:qFormat/>
    <w:rsid w:val="00854284"/>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854284"/>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rsid w:val="00854284"/>
    <w:rPr>
      <w:rFonts w:ascii="Times New Roman" w:eastAsia="Times New Roman" w:hAnsi="Times New Roman" w:cs="Times New Roman"/>
      <w:b/>
      <w:bCs/>
      <w:sz w:val="36"/>
      <w:szCs w:val="36"/>
      <w:lang w:eastAsia="hu-HU"/>
    </w:rPr>
  </w:style>
  <w:style w:type="character" w:styleId="Hiperhivatkozs">
    <w:name w:val="Hyperlink"/>
    <w:basedOn w:val="Bekezdsalapbettpusa"/>
    <w:uiPriority w:val="99"/>
    <w:semiHidden/>
    <w:unhideWhenUsed/>
    <w:rsid w:val="00854284"/>
    <w:rPr>
      <w:color w:val="0000FF"/>
      <w:u w:val="single"/>
    </w:rPr>
  </w:style>
  <w:style w:type="paragraph" w:customStyle="1" w:styleId="author">
    <w:name w:val="author"/>
    <w:basedOn w:val="Norml"/>
    <w:rsid w:val="00854284"/>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NormlWeb">
    <w:name w:val="Normal (Web)"/>
    <w:basedOn w:val="Norml"/>
    <w:uiPriority w:val="99"/>
    <w:semiHidden/>
    <w:unhideWhenUsed/>
    <w:rsid w:val="00854284"/>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switchactive">
    <w:name w:val="switchactive"/>
    <w:basedOn w:val="Bekezdsalapbettpusa"/>
    <w:rsid w:val="00854284"/>
  </w:style>
  <w:style w:type="paragraph" w:customStyle="1" w:styleId="body1">
    <w:name w:val="body1"/>
    <w:basedOn w:val="Norml"/>
    <w:rsid w:val="00854284"/>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194664">
      <w:bodyDiv w:val="1"/>
      <w:marLeft w:val="0"/>
      <w:marRight w:val="0"/>
      <w:marTop w:val="0"/>
      <w:marBottom w:val="0"/>
      <w:divBdr>
        <w:top w:val="none" w:sz="0" w:space="0" w:color="auto"/>
        <w:left w:val="none" w:sz="0" w:space="0" w:color="auto"/>
        <w:bottom w:val="none" w:sz="0" w:space="0" w:color="auto"/>
        <w:right w:val="none" w:sz="0" w:space="0" w:color="auto"/>
      </w:divBdr>
      <w:divsChild>
        <w:div w:id="329330017">
          <w:marLeft w:val="0"/>
          <w:marRight w:val="0"/>
          <w:marTop w:val="0"/>
          <w:marBottom w:val="0"/>
          <w:divBdr>
            <w:top w:val="none" w:sz="0" w:space="0" w:color="auto"/>
            <w:left w:val="none" w:sz="0" w:space="0" w:color="auto"/>
            <w:bottom w:val="none" w:sz="0" w:space="0" w:color="auto"/>
            <w:right w:val="none" w:sz="0" w:space="0" w:color="auto"/>
          </w:divBdr>
          <w:divsChild>
            <w:div w:id="2029210049">
              <w:marLeft w:val="0"/>
              <w:marRight w:val="0"/>
              <w:marTop w:val="0"/>
              <w:marBottom w:val="0"/>
              <w:divBdr>
                <w:top w:val="none" w:sz="0" w:space="0" w:color="auto"/>
                <w:left w:val="none" w:sz="0" w:space="0" w:color="auto"/>
                <w:bottom w:val="none" w:sz="0" w:space="0" w:color="auto"/>
                <w:right w:val="none" w:sz="0" w:space="0" w:color="auto"/>
              </w:divBdr>
            </w:div>
          </w:divsChild>
        </w:div>
        <w:div w:id="1126191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51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424080">
          <w:marLeft w:val="0"/>
          <w:marRight w:val="0"/>
          <w:marTop w:val="0"/>
          <w:marBottom w:val="0"/>
          <w:divBdr>
            <w:top w:val="none" w:sz="0" w:space="0" w:color="auto"/>
            <w:left w:val="none" w:sz="0" w:space="0" w:color="auto"/>
            <w:bottom w:val="none" w:sz="0" w:space="0" w:color="auto"/>
            <w:right w:val="none" w:sz="0" w:space="0" w:color="auto"/>
          </w:divBdr>
          <w:divsChild>
            <w:div w:id="53312072">
              <w:marLeft w:val="0"/>
              <w:marRight w:val="0"/>
              <w:marTop w:val="0"/>
              <w:marBottom w:val="0"/>
              <w:divBdr>
                <w:top w:val="none" w:sz="0" w:space="0" w:color="auto"/>
                <w:left w:val="none" w:sz="0" w:space="0" w:color="auto"/>
                <w:bottom w:val="none" w:sz="0" w:space="0" w:color="auto"/>
                <w:right w:val="none" w:sz="0" w:space="0" w:color="auto"/>
              </w:divBdr>
            </w:div>
            <w:div w:id="121307918">
              <w:marLeft w:val="0"/>
              <w:marRight w:val="0"/>
              <w:marTop w:val="0"/>
              <w:marBottom w:val="0"/>
              <w:divBdr>
                <w:top w:val="none" w:sz="0" w:space="0" w:color="auto"/>
                <w:left w:val="none" w:sz="0" w:space="0" w:color="auto"/>
                <w:bottom w:val="none" w:sz="0" w:space="0" w:color="auto"/>
                <w:right w:val="none" w:sz="0" w:space="0" w:color="auto"/>
              </w:divBdr>
            </w:div>
            <w:div w:id="170342640">
              <w:marLeft w:val="0"/>
              <w:marRight w:val="0"/>
              <w:marTop w:val="0"/>
              <w:marBottom w:val="0"/>
              <w:divBdr>
                <w:top w:val="none" w:sz="0" w:space="0" w:color="auto"/>
                <w:left w:val="none" w:sz="0" w:space="0" w:color="auto"/>
                <w:bottom w:val="none" w:sz="0" w:space="0" w:color="auto"/>
                <w:right w:val="none" w:sz="0" w:space="0" w:color="auto"/>
              </w:divBdr>
            </w:div>
            <w:div w:id="190723021">
              <w:marLeft w:val="0"/>
              <w:marRight w:val="0"/>
              <w:marTop w:val="0"/>
              <w:marBottom w:val="0"/>
              <w:divBdr>
                <w:top w:val="none" w:sz="0" w:space="0" w:color="auto"/>
                <w:left w:val="none" w:sz="0" w:space="0" w:color="auto"/>
                <w:bottom w:val="none" w:sz="0" w:space="0" w:color="auto"/>
                <w:right w:val="none" w:sz="0" w:space="0" w:color="auto"/>
              </w:divBdr>
            </w:div>
            <w:div w:id="248392401">
              <w:marLeft w:val="0"/>
              <w:marRight w:val="0"/>
              <w:marTop w:val="0"/>
              <w:marBottom w:val="0"/>
              <w:divBdr>
                <w:top w:val="none" w:sz="0" w:space="0" w:color="auto"/>
                <w:left w:val="none" w:sz="0" w:space="0" w:color="auto"/>
                <w:bottom w:val="none" w:sz="0" w:space="0" w:color="auto"/>
                <w:right w:val="none" w:sz="0" w:space="0" w:color="auto"/>
              </w:divBdr>
            </w:div>
            <w:div w:id="287198355">
              <w:marLeft w:val="0"/>
              <w:marRight w:val="0"/>
              <w:marTop w:val="0"/>
              <w:marBottom w:val="0"/>
              <w:divBdr>
                <w:top w:val="none" w:sz="0" w:space="0" w:color="auto"/>
                <w:left w:val="none" w:sz="0" w:space="0" w:color="auto"/>
                <w:bottom w:val="none" w:sz="0" w:space="0" w:color="auto"/>
                <w:right w:val="none" w:sz="0" w:space="0" w:color="auto"/>
              </w:divBdr>
            </w:div>
            <w:div w:id="344015519">
              <w:marLeft w:val="0"/>
              <w:marRight w:val="0"/>
              <w:marTop w:val="0"/>
              <w:marBottom w:val="0"/>
              <w:divBdr>
                <w:top w:val="none" w:sz="0" w:space="0" w:color="auto"/>
                <w:left w:val="none" w:sz="0" w:space="0" w:color="auto"/>
                <w:bottom w:val="none" w:sz="0" w:space="0" w:color="auto"/>
                <w:right w:val="none" w:sz="0" w:space="0" w:color="auto"/>
              </w:divBdr>
            </w:div>
            <w:div w:id="388261352">
              <w:marLeft w:val="0"/>
              <w:marRight w:val="0"/>
              <w:marTop w:val="0"/>
              <w:marBottom w:val="0"/>
              <w:divBdr>
                <w:top w:val="none" w:sz="0" w:space="0" w:color="auto"/>
                <w:left w:val="none" w:sz="0" w:space="0" w:color="auto"/>
                <w:bottom w:val="none" w:sz="0" w:space="0" w:color="auto"/>
                <w:right w:val="none" w:sz="0" w:space="0" w:color="auto"/>
              </w:divBdr>
            </w:div>
            <w:div w:id="474950226">
              <w:marLeft w:val="0"/>
              <w:marRight w:val="0"/>
              <w:marTop w:val="0"/>
              <w:marBottom w:val="0"/>
              <w:divBdr>
                <w:top w:val="none" w:sz="0" w:space="0" w:color="auto"/>
                <w:left w:val="none" w:sz="0" w:space="0" w:color="auto"/>
                <w:bottom w:val="none" w:sz="0" w:space="0" w:color="auto"/>
                <w:right w:val="none" w:sz="0" w:space="0" w:color="auto"/>
              </w:divBdr>
            </w:div>
            <w:div w:id="514073821">
              <w:marLeft w:val="0"/>
              <w:marRight w:val="0"/>
              <w:marTop w:val="0"/>
              <w:marBottom w:val="0"/>
              <w:divBdr>
                <w:top w:val="none" w:sz="0" w:space="0" w:color="auto"/>
                <w:left w:val="none" w:sz="0" w:space="0" w:color="auto"/>
                <w:bottom w:val="none" w:sz="0" w:space="0" w:color="auto"/>
                <w:right w:val="none" w:sz="0" w:space="0" w:color="auto"/>
              </w:divBdr>
            </w:div>
            <w:div w:id="515731327">
              <w:marLeft w:val="0"/>
              <w:marRight w:val="0"/>
              <w:marTop w:val="0"/>
              <w:marBottom w:val="0"/>
              <w:divBdr>
                <w:top w:val="none" w:sz="0" w:space="0" w:color="auto"/>
                <w:left w:val="none" w:sz="0" w:space="0" w:color="auto"/>
                <w:bottom w:val="none" w:sz="0" w:space="0" w:color="auto"/>
                <w:right w:val="none" w:sz="0" w:space="0" w:color="auto"/>
              </w:divBdr>
            </w:div>
            <w:div w:id="549002788">
              <w:marLeft w:val="0"/>
              <w:marRight w:val="0"/>
              <w:marTop w:val="0"/>
              <w:marBottom w:val="0"/>
              <w:divBdr>
                <w:top w:val="none" w:sz="0" w:space="0" w:color="auto"/>
                <w:left w:val="none" w:sz="0" w:space="0" w:color="auto"/>
                <w:bottom w:val="none" w:sz="0" w:space="0" w:color="auto"/>
                <w:right w:val="none" w:sz="0" w:space="0" w:color="auto"/>
              </w:divBdr>
            </w:div>
            <w:div w:id="579603609">
              <w:marLeft w:val="0"/>
              <w:marRight w:val="0"/>
              <w:marTop w:val="0"/>
              <w:marBottom w:val="0"/>
              <w:divBdr>
                <w:top w:val="none" w:sz="0" w:space="0" w:color="auto"/>
                <w:left w:val="none" w:sz="0" w:space="0" w:color="auto"/>
                <w:bottom w:val="none" w:sz="0" w:space="0" w:color="auto"/>
                <w:right w:val="none" w:sz="0" w:space="0" w:color="auto"/>
              </w:divBdr>
            </w:div>
            <w:div w:id="605581003">
              <w:marLeft w:val="0"/>
              <w:marRight w:val="0"/>
              <w:marTop w:val="0"/>
              <w:marBottom w:val="0"/>
              <w:divBdr>
                <w:top w:val="none" w:sz="0" w:space="0" w:color="auto"/>
                <w:left w:val="none" w:sz="0" w:space="0" w:color="auto"/>
                <w:bottom w:val="none" w:sz="0" w:space="0" w:color="auto"/>
                <w:right w:val="none" w:sz="0" w:space="0" w:color="auto"/>
              </w:divBdr>
            </w:div>
            <w:div w:id="677542242">
              <w:marLeft w:val="0"/>
              <w:marRight w:val="0"/>
              <w:marTop w:val="0"/>
              <w:marBottom w:val="0"/>
              <w:divBdr>
                <w:top w:val="none" w:sz="0" w:space="0" w:color="auto"/>
                <w:left w:val="none" w:sz="0" w:space="0" w:color="auto"/>
                <w:bottom w:val="none" w:sz="0" w:space="0" w:color="auto"/>
                <w:right w:val="none" w:sz="0" w:space="0" w:color="auto"/>
              </w:divBdr>
            </w:div>
            <w:div w:id="774517957">
              <w:marLeft w:val="0"/>
              <w:marRight w:val="0"/>
              <w:marTop w:val="0"/>
              <w:marBottom w:val="0"/>
              <w:divBdr>
                <w:top w:val="none" w:sz="0" w:space="0" w:color="auto"/>
                <w:left w:val="none" w:sz="0" w:space="0" w:color="auto"/>
                <w:bottom w:val="none" w:sz="0" w:space="0" w:color="auto"/>
                <w:right w:val="none" w:sz="0" w:space="0" w:color="auto"/>
              </w:divBdr>
            </w:div>
            <w:div w:id="815293337">
              <w:marLeft w:val="0"/>
              <w:marRight w:val="0"/>
              <w:marTop w:val="0"/>
              <w:marBottom w:val="0"/>
              <w:divBdr>
                <w:top w:val="none" w:sz="0" w:space="0" w:color="auto"/>
                <w:left w:val="none" w:sz="0" w:space="0" w:color="auto"/>
                <w:bottom w:val="none" w:sz="0" w:space="0" w:color="auto"/>
                <w:right w:val="none" w:sz="0" w:space="0" w:color="auto"/>
              </w:divBdr>
            </w:div>
            <w:div w:id="844131263">
              <w:marLeft w:val="0"/>
              <w:marRight w:val="0"/>
              <w:marTop w:val="0"/>
              <w:marBottom w:val="0"/>
              <w:divBdr>
                <w:top w:val="none" w:sz="0" w:space="0" w:color="auto"/>
                <w:left w:val="none" w:sz="0" w:space="0" w:color="auto"/>
                <w:bottom w:val="none" w:sz="0" w:space="0" w:color="auto"/>
                <w:right w:val="none" w:sz="0" w:space="0" w:color="auto"/>
              </w:divBdr>
            </w:div>
            <w:div w:id="869536633">
              <w:marLeft w:val="0"/>
              <w:marRight w:val="0"/>
              <w:marTop w:val="0"/>
              <w:marBottom w:val="0"/>
              <w:divBdr>
                <w:top w:val="none" w:sz="0" w:space="0" w:color="auto"/>
                <w:left w:val="none" w:sz="0" w:space="0" w:color="auto"/>
                <w:bottom w:val="none" w:sz="0" w:space="0" w:color="auto"/>
                <w:right w:val="none" w:sz="0" w:space="0" w:color="auto"/>
              </w:divBdr>
            </w:div>
            <w:div w:id="1048920887">
              <w:marLeft w:val="0"/>
              <w:marRight w:val="0"/>
              <w:marTop w:val="0"/>
              <w:marBottom w:val="0"/>
              <w:divBdr>
                <w:top w:val="none" w:sz="0" w:space="0" w:color="auto"/>
                <w:left w:val="none" w:sz="0" w:space="0" w:color="auto"/>
                <w:bottom w:val="none" w:sz="0" w:space="0" w:color="auto"/>
                <w:right w:val="none" w:sz="0" w:space="0" w:color="auto"/>
              </w:divBdr>
            </w:div>
            <w:div w:id="1095050261">
              <w:marLeft w:val="0"/>
              <w:marRight w:val="0"/>
              <w:marTop w:val="0"/>
              <w:marBottom w:val="0"/>
              <w:divBdr>
                <w:top w:val="none" w:sz="0" w:space="0" w:color="auto"/>
                <w:left w:val="none" w:sz="0" w:space="0" w:color="auto"/>
                <w:bottom w:val="none" w:sz="0" w:space="0" w:color="auto"/>
                <w:right w:val="none" w:sz="0" w:space="0" w:color="auto"/>
              </w:divBdr>
            </w:div>
            <w:div w:id="1102846865">
              <w:marLeft w:val="0"/>
              <w:marRight w:val="0"/>
              <w:marTop w:val="0"/>
              <w:marBottom w:val="0"/>
              <w:divBdr>
                <w:top w:val="none" w:sz="0" w:space="0" w:color="auto"/>
                <w:left w:val="none" w:sz="0" w:space="0" w:color="auto"/>
                <w:bottom w:val="none" w:sz="0" w:space="0" w:color="auto"/>
                <w:right w:val="none" w:sz="0" w:space="0" w:color="auto"/>
              </w:divBdr>
            </w:div>
            <w:div w:id="1163088944">
              <w:marLeft w:val="0"/>
              <w:marRight w:val="0"/>
              <w:marTop w:val="0"/>
              <w:marBottom w:val="0"/>
              <w:divBdr>
                <w:top w:val="none" w:sz="0" w:space="0" w:color="auto"/>
                <w:left w:val="none" w:sz="0" w:space="0" w:color="auto"/>
                <w:bottom w:val="none" w:sz="0" w:space="0" w:color="auto"/>
                <w:right w:val="none" w:sz="0" w:space="0" w:color="auto"/>
              </w:divBdr>
            </w:div>
            <w:div w:id="1247613473">
              <w:marLeft w:val="0"/>
              <w:marRight w:val="0"/>
              <w:marTop w:val="0"/>
              <w:marBottom w:val="0"/>
              <w:divBdr>
                <w:top w:val="none" w:sz="0" w:space="0" w:color="auto"/>
                <w:left w:val="none" w:sz="0" w:space="0" w:color="auto"/>
                <w:bottom w:val="none" w:sz="0" w:space="0" w:color="auto"/>
                <w:right w:val="none" w:sz="0" w:space="0" w:color="auto"/>
              </w:divBdr>
            </w:div>
            <w:div w:id="1286810827">
              <w:marLeft w:val="0"/>
              <w:marRight w:val="0"/>
              <w:marTop w:val="0"/>
              <w:marBottom w:val="0"/>
              <w:divBdr>
                <w:top w:val="none" w:sz="0" w:space="0" w:color="auto"/>
                <w:left w:val="none" w:sz="0" w:space="0" w:color="auto"/>
                <w:bottom w:val="none" w:sz="0" w:space="0" w:color="auto"/>
                <w:right w:val="none" w:sz="0" w:space="0" w:color="auto"/>
              </w:divBdr>
            </w:div>
            <w:div w:id="1396271370">
              <w:marLeft w:val="0"/>
              <w:marRight w:val="0"/>
              <w:marTop w:val="0"/>
              <w:marBottom w:val="0"/>
              <w:divBdr>
                <w:top w:val="none" w:sz="0" w:space="0" w:color="auto"/>
                <w:left w:val="none" w:sz="0" w:space="0" w:color="auto"/>
                <w:bottom w:val="none" w:sz="0" w:space="0" w:color="auto"/>
                <w:right w:val="none" w:sz="0" w:space="0" w:color="auto"/>
              </w:divBdr>
            </w:div>
            <w:div w:id="1528131489">
              <w:marLeft w:val="0"/>
              <w:marRight w:val="0"/>
              <w:marTop w:val="0"/>
              <w:marBottom w:val="0"/>
              <w:divBdr>
                <w:top w:val="none" w:sz="0" w:space="0" w:color="auto"/>
                <w:left w:val="none" w:sz="0" w:space="0" w:color="auto"/>
                <w:bottom w:val="none" w:sz="0" w:space="0" w:color="auto"/>
                <w:right w:val="none" w:sz="0" w:space="0" w:color="auto"/>
              </w:divBdr>
            </w:div>
            <w:div w:id="1551191370">
              <w:marLeft w:val="0"/>
              <w:marRight w:val="0"/>
              <w:marTop w:val="0"/>
              <w:marBottom w:val="0"/>
              <w:divBdr>
                <w:top w:val="none" w:sz="0" w:space="0" w:color="auto"/>
                <w:left w:val="none" w:sz="0" w:space="0" w:color="auto"/>
                <w:bottom w:val="none" w:sz="0" w:space="0" w:color="auto"/>
                <w:right w:val="none" w:sz="0" w:space="0" w:color="auto"/>
              </w:divBdr>
            </w:div>
            <w:div w:id="1554195252">
              <w:marLeft w:val="0"/>
              <w:marRight w:val="0"/>
              <w:marTop w:val="0"/>
              <w:marBottom w:val="0"/>
              <w:divBdr>
                <w:top w:val="none" w:sz="0" w:space="0" w:color="auto"/>
                <w:left w:val="none" w:sz="0" w:space="0" w:color="auto"/>
                <w:bottom w:val="none" w:sz="0" w:space="0" w:color="auto"/>
                <w:right w:val="none" w:sz="0" w:space="0" w:color="auto"/>
              </w:divBdr>
            </w:div>
            <w:div w:id="1631521423">
              <w:marLeft w:val="0"/>
              <w:marRight w:val="0"/>
              <w:marTop w:val="0"/>
              <w:marBottom w:val="0"/>
              <w:divBdr>
                <w:top w:val="none" w:sz="0" w:space="0" w:color="auto"/>
                <w:left w:val="none" w:sz="0" w:space="0" w:color="auto"/>
                <w:bottom w:val="none" w:sz="0" w:space="0" w:color="auto"/>
                <w:right w:val="none" w:sz="0" w:space="0" w:color="auto"/>
              </w:divBdr>
            </w:div>
            <w:div w:id="1881093297">
              <w:marLeft w:val="0"/>
              <w:marRight w:val="0"/>
              <w:marTop w:val="0"/>
              <w:marBottom w:val="0"/>
              <w:divBdr>
                <w:top w:val="none" w:sz="0" w:space="0" w:color="auto"/>
                <w:left w:val="none" w:sz="0" w:space="0" w:color="auto"/>
                <w:bottom w:val="none" w:sz="0" w:space="0" w:color="auto"/>
                <w:right w:val="none" w:sz="0" w:space="0" w:color="auto"/>
              </w:divBdr>
            </w:div>
            <w:div w:id="1882209633">
              <w:marLeft w:val="0"/>
              <w:marRight w:val="0"/>
              <w:marTop w:val="0"/>
              <w:marBottom w:val="0"/>
              <w:divBdr>
                <w:top w:val="none" w:sz="0" w:space="0" w:color="auto"/>
                <w:left w:val="none" w:sz="0" w:space="0" w:color="auto"/>
                <w:bottom w:val="none" w:sz="0" w:space="0" w:color="auto"/>
                <w:right w:val="none" w:sz="0" w:space="0" w:color="auto"/>
              </w:divBdr>
            </w:div>
            <w:div w:id="1961304791">
              <w:marLeft w:val="0"/>
              <w:marRight w:val="0"/>
              <w:marTop w:val="0"/>
              <w:marBottom w:val="0"/>
              <w:divBdr>
                <w:top w:val="none" w:sz="0" w:space="0" w:color="auto"/>
                <w:left w:val="none" w:sz="0" w:space="0" w:color="auto"/>
                <w:bottom w:val="none" w:sz="0" w:space="0" w:color="auto"/>
                <w:right w:val="none" w:sz="0" w:space="0" w:color="auto"/>
              </w:divBdr>
            </w:div>
            <w:div w:id="2086560601">
              <w:marLeft w:val="0"/>
              <w:marRight w:val="0"/>
              <w:marTop w:val="0"/>
              <w:marBottom w:val="0"/>
              <w:divBdr>
                <w:top w:val="none" w:sz="0" w:space="0" w:color="auto"/>
                <w:left w:val="none" w:sz="0" w:space="0" w:color="auto"/>
                <w:bottom w:val="none" w:sz="0" w:space="0" w:color="auto"/>
                <w:right w:val="none" w:sz="0" w:space="0" w:color="auto"/>
              </w:divBdr>
            </w:div>
          </w:divsChild>
        </w:div>
        <w:div w:id="1861582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0716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ipcp.net/transversal/0811" TargetMode="External"/><Relationship Id="rId3" Type="http://schemas.openxmlformats.org/officeDocument/2006/relationships/webSettings" Target="webSettings.xml"/><Relationship Id="rId7" Type="http://schemas.openxmlformats.org/officeDocument/2006/relationships/hyperlink" Target="http://eipcp.net/transversal/0811/puar/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ipcp.net/bio/pua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eipcp.net/transversal/0811/puar/en/print" TargetMode="Externa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5434</Words>
  <Characters>37498</Characters>
  <Application>Microsoft Office Word</Application>
  <DocSecurity>0</DocSecurity>
  <Lines>312</Lines>
  <Paragraphs>85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42847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2017-01-31T09:51:00Z</dcterms:created>
  <dcterms:modified xsi:type="dcterms:W3CDTF">2017-02-02T07:31:00Z</dcterms:modified>
</cp:coreProperties>
</file>